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59B31" w14:textId="3368D3A5" w:rsidR="00BB54BE" w:rsidRPr="001C0132" w:rsidRDefault="00BB5024" w:rsidP="00BB54BE">
      <w:pPr>
        <w:jc w:val="center"/>
        <w:rPr>
          <w:lang w:val="fr-CA"/>
        </w:rPr>
      </w:pPr>
      <w:r>
        <w:rPr>
          <w:noProof/>
          <w:lang w:val="en-US" w:eastAsia="zh-CN"/>
        </w:rPr>
        <w:drawing>
          <wp:inline distT="0" distB="0" distL="0" distR="0" wp14:anchorId="578C231A" wp14:editId="71E02FA9">
            <wp:extent cx="2459741" cy="11430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X CDCC-Colo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59741" cy="1143002"/>
                    </a:xfrm>
                    <a:prstGeom prst="rect">
                      <a:avLst/>
                    </a:prstGeom>
                  </pic:spPr>
                </pic:pic>
              </a:graphicData>
            </a:graphic>
          </wp:inline>
        </w:drawing>
      </w:r>
    </w:p>
    <w:p w14:paraId="56CF7A32" w14:textId="77777777" w:rsidR="00BB54BE" w:rsidRPr="001C0132" w:rsidRDefault="00BB54BE" w:rsidP="00BB54BE">
      <w:pPr>
        <w:rPr>
          <w:lang w:val="fr-CA"/>
        </w:rPr>
      </w:pPr>
    </w:p>
    <w:p w14:paraId="708FB05F" w14:textId="77777777" w:rsidR="00BB54BE" w:rsidRPr="001C0132" w:rsidRDefault="00BB54BE" w:rsidP="00BB54BE">
      <w:pPr>
        <w:rPr>
          <w:lang w:val="fr-CA"/>
        </w:rPr>
      </w:pPr>
    </w:p>
    <w:p w14:paraId="536E0F0B" w14:textId="77777777" w:rsidR="00BB54BE" w:rsidRPr="001C0132" w:rsidRDefault="00BB54BE" w:rsidP="00BB54BE">
      <w:pPr>
        <w:rPr>
          <w:lang w:val="fr-CA"/>
        </w:rPr>
      </w:pPr>
    </w:p>
    <w:p w14:paraId="4043ED71" w14:textId="77777777" w:rsidR="00BB54BE" w:rsidRPr="001C0132" w:rsidRDefault="00BB54BE" w:rsidP="00BB54BE">
      <w:pPr>
        <w:rPr>
          <w:lang w:val="fr-CA"/>
        </w:rPr>
      </w:pPr>
    </w:p>
    <w:p w14:paraId="08F8D6BB" w14:textId="77777777" w:rsidR="00BB54BE" w:rsidRPr="001C0132" w:rsidRDefault="00BB54BE" w:rsidP="00BB54BE">
      <w:pPr>
        <w:rPr>
          <w:lang w:val="fr-CA"/>
        </w:rPr>
      </w:pPr>
    </w:p>
    <w:p w14:paraId="4D526CC5" w14:textId="77777777" w:rsidR="00BB54BE" w:rsidRPr="001C0132" w:rsidRDefault="00BB54BE" w:rsidP="00BB54BE">
      <w:pPr>
        <w:rPr>
          <w:lang w:val="fr-CA"/>
        </w:rPr>
      </w:pPr>
    </w:p>
    <w:p w14:paraId="6E239B2E" w14:textId="77777777" w:rsidR="00BB54BE" w:rsidRPr="001C0132" w:rsidRDefault="00BB54BE" w:rsidP="00BB54BE">
      <w:pPr>
        <w:rPr>
          <w:lang w:val="fr-CA"/>
        </w:rPr>
      </w:pPr>
    </w:p>
    <w:p w14:paraId="670516D7" w14:textId="77777777" w:rsidR="00BB54BE" w:rsidRPr="001C0132" w:rsidRDefault="00BB54BE" w:rsidP="00BB54BE">
      <w:pPr>
        <w:rPr>
          <w:lang w:val="fr-CA"/>
        </w:rPr>
      </w:pPr>
    </w:p>
    <w:p w14:paraId="494A1BEF" w14:textId="77777777" w:rsidR="00BB54BE" w:rsidRPr="001C0132" w:rsidRDefault="00BB54BE" w:rsidP="00BB54BE">
      <w:pPr>
        <w:rPr>
          <w:lang w:val="fr-CA"/>
        </w:rPr>
      </w:pPr>
    </w:p>
    <w:p w14:paraId="3B1E73E5" w14:textId="77777777" w:rsidR="00BB54BE" w:rsidRPr="001C0132" w:rsidRDefault="00BB54BE" w:rsidP="00BB54BE">
      <w:pPr>
        <w:rPr>
          <w:lang w:val="fr-CA"/>
        </w:rPr>
      </w:pPr>
    </w:p>
    <w:p w14:paraId="1A50EA64" w14:textId="77777777" w:rsidR="00BB54BE" w:rsidRPr="001C0132" w:rsidRDefault="00BB54BE" w:rsidP="00BB54BE">
      <w:pPr>
        <w:rPr>
          <w:lang w:val="fr-CA"/>
        </w:rPr>
      </w:pPr>
    </w:p>
    <w:p w14:paraId="2D3CBBC5" w14:textId="77777777" w:rsidR="00BB54BE" w:rsidRPr="001C0132" w:rsidRDefault="00BB54BE" w:rsidP="00BB54BE">
      <w:pPr>
        <w:rPr>
          <w:lang w:val="fr-CA"/>
        </w:rPr>
      </w:pPr>
    </w:p>
    <w:p w14:paraId="0DFC4C50" w14:textId="77777777" w:rsidR="00BB54BE" w:rsidRPr="001C0132" w:rsidRDefault="00BB54BE" w:rsidP="00BB54BE">
      <w:pPr>
        <w:rPr>
          <w:lang w:val="fr-CA"/>
        </w:rPr>
      </w:pPr>
    </w:p>
    <w:p w14:paraId="23084114" w14:textId="77777777" w:rsidR="00BB54BE" w:rsidRPr="001C0132" w:rsidRDefault="00BB54BE" w:rsidP="00BB54BE">
      <w:pPr>
        <w:rPr>
          <w:lang w:val="fr-CA"/>
        </w:rPr>
      </w:pPr>
    </w:p>
    <w:p w14:paraId="0EB54F98" w14:textId="77777777" w:rsidR="00BB54BE" w:rsidRPr="001C0132" w:rsidRDefault="00BB54BE" w:rsidP="00BB54BE">
      <w:pPr>
        <w:rPr>
          <w:lang w:val="fr-CA"/>
        </w:rPr>
      </w:pPr>
    </w:p>
    <w:p w14:paraId="5CBB3DF4" w14:textId="77777777" w:rsidR="00BB54BE" w:rsidRPr="001C0132" w:rsidRDefault="00BB54BE" w:rsidP="00BB54BE">
      <w:pPr>
        <w:jc w:val="center"/>
        <w:rPr>
          <w:b/>
          <w:color w:val="365F91" w:themeColor="accent1" w:themeShade="BF"/>
          <w:sz w:val="32"/>
          <w:szCs w:val="32"/>
          <w:lang w:val="fr-CA"/>
        </w:rPr>
      </w:pPr>
      <w:bookmarkStart w:id="0" w:name="lt_pId000"/>
      <w:r w:rsidRPr="00BB5024">
        <w:rPr>
          <w:b/>
          <w:bCs/>
          <w:color w:val="365F91" w:themeColor="accent1" w:themeShade="BF"/>
          <w:sz w:val="32"/>
          <w:szCs w:val="32"/>
          <w:lang w:val="fr-CA"/>
        </w:rPr>
        <w:t>Divulgation quantitative de la </w:t>
      </w:r>
      <w:r w:rsidRPr="00BB5024">
        <w:rPr>
          <w:b/>
          <w:color w:val="365F91" w:themeColor="accent1" w:themeShade="BF"/>
          <w:sz w:val="32"/>
          <w:szCs w:val="32"/>
          <w:lang w:val="fr-CA"/>
        </w:rPr>
        <w:t>CDCC</w:t>
      </w:r>
      <w:bookmarkEnd w:id="0"/>
    </w:p>
    <w:p w14:paraId="16449B46" w14:textId="77777777" w:rsidR="00BB54BE" w:rsidRPr="001C0132" w:rsidRDefault="00BB54BE" w:rsidP="00BB54BE">
      <w:pPr>
        <w:jc w:val="center"/>
        <w:rPr>
          <w:b/>
          <w:color w:val="365F91" w:themeColor="accent1" w:themeShade="BF"/>
          <w:sz w:val="32"/>
          <w:szCs w:val="32"/>
          <w:lang w:val="fr-CA"/>
        </w:rPr>
      </w:pPr>
      <w:bookmarkStart w:id="1" w:name="lt_pId001"/>
      <w:r w:rsidRPr="001C0132">
        <w:rPr>
          <w:b/>
          <w:color w:val="365F91" w:themeColor="accent1" w:themeShade="BF"/>
          <w:sz w:val="32"/>
          <w:szCs w:val="32"/>
          <w:lang w:val="fr-CA"/>
        </w:rPr>
        <w:t>Notes</w:t>
      </w:r>
      <w:bookmarkStart w:id="2" w:name="lt_pId003"/>
      <w:bookmarkEnd w:id="1"/>
      <w:bookmarkEnd w:id="2"/>
      <w:r w:rsidRPr="001C0132">
        <w:rPr>
          <w:b/>
          <w:color w:val="365F91" w:themeColor="accent1" w:themeShade="BF"/>
          <w:sz w:val="32"/>
          <w:szCs w:val="32"/>
          <w:lang w:val="fr-CA"/>
        </w:rPr>
        <w:t xml:space="preserve"> qualitatives</w:t>
      </w:r>
    </w:p>
    <w:p w14:paraId="610599E7" w14:textId="77777777" w:rsidR="00BB54BE" w:rsidRPr="001C0132" w:rsidRDefault="00BB54BE" w:rsidP="00BB54BE">
      <w:pPr>
        <w:rPr>
          <w:lang w:val="fr-CA"/>
        </w:rPr>
      </w:pPr>
    </w:p>
    <w:p w14:paraId="2EEE2C14" w14:textId="77777777" w:rsidR="00BB54BE" w:rsidRPr="001C0132" w:rsidRDefault="00BB54BE" w:rsidP="00BB54BE">
      <w:pPr>
        <w:rPr>
          <w:lang w:val="fr-CA"/>
        </w:rPr>
      </w:pPr>
    </w:p>
    <w:p w14:paraId="021DCA18" w14:textId="77777777" w:rsidR="00BB54BE" w:rsidRPr="001C0132" w:rsidRDefault="00BB54BE" w:rsidP="00BB54BE">
      <w:pPr>
        <w:rPr>
          <w:lang w:val="fr-CA"/>
        </w:rPr>
      </w:pPr>
    </w:p>
    <w:p w14:paraId="4BDEB17E" w14:textId="77777777" w:rsidR="00BB54BE" w:rsidRPr="001C0132" w:rsidRDefault="00BB54BE" w:rsidP="00BB54BE">
      <w:pPr>
        <w:rPr>
          <w:lang w:val="fr-CA"/>
        </w:rPr>
      </w:pPr>
    </w:p>
    <w:p w14:paraId="394C0026" w14:textId="77777777" w:rsidR="00BB54BE" w:rsidRPr="001C0132" w:rsidRDefault="00BB54BE" w:rsidP="00BB54BE">
      <w:pPr>
        <w:rPr>
          <w:lang w:val="fr-CA"/>
        </w:rPr>
      </w:pPr>
    </w:p>
    <w:p w14:paraId="33AE8653" w14:textId="77777777" w:rsidR="00BB54BE" w:rsidRPr="001C0132" w:rsidRDefault="00BB54BE" w:rsidP="00BB54BE">
      <w:pPr>
        <w:rPr>
          <w:lang w:val="fr-CA"/>
        </w:rPr>
      </w:pPr>
    </w:p>
    <w:p w14:paraId="4963F3CC" w14:textId="77777777" w:rsidR="00BB54BE" w:rsidRPr="001C0132" w:rsidRDefault="00BB54BE" w:rsidP="00BB54BE">
      <w:pPr>
        <w:rPr>
          <w:lang w:val="fr-CA"/>
        </w:rPr>
      </w:pPr>
    </w:p>
    <w:p w14:paraId="1A8CA431" w14:textId="77777777" w:rsidR="00BB54BE" w:rsidRPr="001C0132" w:rsidRDefault="00BB54BE" w:rsidP="00BB54BE">
      <w:pPr>
        <w:rPr>
          <w:lang w:val="fr-CA"/>
        </w:rPr>
      </w:pPr>
    </w:p>
    <w:p w14:paraId="20839F6E" w14:textId="77777777" w:rsidR="00BB54BE" w:rsidRPr="001C0132" w:rsidRDefault="00BB54BE" w:rsidP="00BB54BE">
      <w:pPr>
        <w:rPr>
          <w:lang w:val="fr-CA"/>
        </w:rPr>
      </w:pPr>
    </w:p>
    <w:p w14:paraId="7487F834" w14:textId="77777777" w:rsidR="00BB54BE" w:rsidRPr="001C0132" w:rsidRDefault="00BB54BE" w:rsidP="00BB54BE">
      <w:pPr>
        <w:rPr>
          <w:lang w:val="fr-CA"/>
        </w:rPr>
      </w:pPr>
    </w:p>
    <w:p w14:paraId="1F49DA67" w14:textId="77777777" w:rsidR="00BB54BE" w:rsidRPr="001C0132" w:rsidRDefault="00BB54BE" w:rsidP="00BB54BE">
      <w:pPr>
        <w:rPr>
          <w:lang w:val="fr-CA"/>
        </w:rPr>
      </w:pPr>
    </w:p>
    <w:p w14:paraId="6F4C7077" w14:textId="77777777" w:rsidR="00BB54BE" w:rsidRPr="001C0132" w:rsidRDefault="00BB54BE" w:rsidP="00BB54BE">
      <w:pPr>
        <w:rPr>
          <w:lang w:val="fr-CA"/>
        </w:rPr>
      </w:pPr>
    </w:p>
    <w:p w14:paraId="62837745" w14:textId="77777777" w:rsidR="00BB54BE" w:rsidRPr="001C0132" w:rsidRDefault="00BB54BE" w:rsidP="00BB54BE">
      <w:pPr>
        <w:rPr>
          <w:lang w:val="fr-CA"/>
        </w:rPr>
      </w:pPr>
    </w:p>
    <w:p w14:paraId="68837D70" w14:textId="77777777" w:rsidR="00BB54BE" w:rsidRPr="001C0132" w:rsidRDefault="00BB54BE" w:rsidP="00BB54BE">
      <w:pPr>
        <w:rPr>
          <w:lang w:val="fr-CA"/>
        </w:rPr>
      </w:pPr>
    </w:p>
    <w:p w14:paraId="177016B2" w14:textId="77777777" w:rsidR="00BB54BE" w:rsidRPr="001C0132" w:rsidRDefault="00BB54BE" w:rsidP="00BB54BE">
      <w:pPr>
        <w:rPr>
          <w:lang w:val="fr-CA"/>
        </w:rPr>
      </w:pPr>
    </w:p>
    <w:p w14:paraId="42235872" w14:textId="77777777" w:rsidR="00BB54BE" w:rsidRPr="001C0132" w:rsidRDefault="00BB54BE" w:rsidP="00BB54BE">
      <w:pPr>
        <w:rPr>
          <w:lang w:val="fr-CA"/>
        </w:rPr>
      </w:pPr>
    </w:p>
    <w:p w14:paraId="140E9B74" w14:textId="4414DD6A" w:rsidR="00BB54BE" w:rsidRDefault="00854930" w:rsidP="00226D3D">
      <w:pPr>
        <w:jc w:val="center"/>
        <w:rPr>
          <w:b/>
          <w:color w:val="365F91" w:themeColor="accent1" w:themeShade="BF"/>
          <w:sz w:val="28"/>
          <w:lang w:val="fr-CA"/>
        </w:rPr>
      </w:pPr>
      <w:r>
        <w:rPr>
          <w:b/>
          <w:color w:val="365F91" w:themeColor="accent1" w:themeShade="BF"/>
          <w:sz w:val="28"/>
          <w:lang w:val="fr-CA"/>
        </w:rPr>
        <w:t>T</w:t>
      </w:r>
      <w:r w:rsidR="00FF5E27">
        <w:rPr>
          <w:b/>
          <w:color w:val="365F91" w:themeColor="accent1" w:themeShade="BF"/>
          <w:sz w:val="28"/>
          <w:lang w:val="fr-CA"/>
        </w:rPr>
        <w:t>2</w:t>
      </w:r>
      <w:r w:rsidR="006178B3">
        <w:rPr>
          <w:b/>
          <w:color w:val="365F91" w:themeColor="accent1" w:themeShade="BF"/>
          <w:sz w:val="28"/>
          <w:lang w:val="fr-CA"/>
        </w:rPr>
        <w:t xml:space="preserve"> 202</w:t>
      </w:r>
      <w:r w:rsidR="00102C84">
        <w:rPr>
          <w:b/>
          <w:color w:val="365F91" w:themeColor="accent1" w:themeShade="BF"/>
          <w:sz w:val="28"/>
          <w:lang w:val="fr-CA"/>
        </w:rPr>
        <w:t>5</w:t>
      </w:r>
    </w:p>
    <w:p w14:paraId="431FF0F9" w14:textId="0AE70296" w:rsidR="00173E63" w:rsidRDefault="00173E63" w:rsidP="00226D3D">
      <w:pPr>
        <w:jc w:val="center"/>
        <w:rPr>
          <w:b/>
          <w:color w:val="365F91" w:themeColor="accent1" w:themeShade="BF"/>
          <w:sz w:val="28"/>
          <w:lang w:val="fr-CA"/>
        </w:rPr>
      </w:pPr>
    </w:p>
    <w:p w14:paraId="5B5AF9E0" w14:textId="68546A85" w:rsidR="00173E63" w:rsidRDefault="00173E63" w:rsidP="00226D3D">
      <w:pPr>
        <w:jc w:val="center"/>
        <w:rPr>
          <w:b/>
          <w:color w:val="365F91" w:themeColor="accent1" w:themeShade="BF"/>
          <w:sz w:val="28"/>
          <w:lang w:val="fr-CA"/>
        </w:rPr>
      </w:pPr>
    </w:p>
    <w:p w14:paraId="5CAFBA6F" w14:textId="77777777" w:rsidR="00F20321" w:rsidRDefault="00F20321" w:rsidP="00F20321">
      <w:pPr>
        <w:spacing w:after="200"/>
        <w:jc w:val="both"/>
        <w:rPr>
          <w:b/>
          <w:color w:val="365F91" w:themeColor="accent1" w:themeShade="BF"/>
          <w:sz w:val="28"/>
          <w:lang w:val="fr-FR"/>
        </w:rPr>
      </w:pPr>
      <w:r w:rsidRPr="00F20321">
        <w:rPr>
          <w:b/>
          <w:color w:val="365F91" w:themeColor="accent1" w:themeShade="BF"/>
          <w:sz w:val="28"/>
          <w:lang w:val="fr-FR"/>
        </w:rPr>
        <w:t>Avertissement</w:t>
      </w:r>
    </w:p>
    <w:p w14:paraId="354ABA89" w14:textId="7436282A" w:rsidR="00173E63" w:rsidRPr="00636A2D" w:rsidRDefault="00173E63" w:rsidP="00173E63">
      <w:pPr>
        <w:spacing w:after="200"/>
        <w:ind w:firstLine="720"/>
        <w:jc w:val="both"/>
        <w:rPr>
          <w:rFonts w:ascii="Calibri" w:eastAsia="Times New Roman" w:hAnsi="Calibri" w:cs="Times New Roman"/>
          <w:color w:val="000000"/>
          <w:szCs w:val="24"/>
          <w:lang w:val="fr-CA" w:eastAsia="fr-CA"/>
        </w:rPr>
      </w:pPr>
      <w:r w:rsidRPr="00F20321">
        <w:rPr>
          <w:rFonts w:ascii="Calibri" w:eastAsia="Times New Roman" w:hAnsi="Calibri" w:cs="Times New Roman"/>
          <w:color w:val="000000"/>
          <w:szCs w:val="24"/>
          <w:lang w:val="fr-FR" w:eastAsia="fr-CA"/>
        </w:rPr>
        <w:t xml:space="preserve">Bien que toute la diligence raisonnable ait été apportée à la préparation du présent document, la Corporation canadienne de compensation de produits dérivés (CDCC), la Bourse de Montréal, le Groupe TMX, les membres de ce groupe, leurs administrateurs ni aucune autre personne ne font de déclaration et n’offrent de garantie, expresse ou tacite, quant à l’exactitude, à l’exhaustivité et à la fidélité des renseignements et des avis qui y figurent, et ils déclinent toute responsabilité à cet égard. </w:t>
      </w:r>
      <w:r w:rsidRPr="00636A2D">
        <w:rPr>
          <w:rFonts w:ascii="Calibri" w:eastAsia="Times New Roman" w:hAnsi="Calibri" w:cs="Times New Roman"/>
          <w:color w:val="000000"/>
          <w:szCs w:val="24"/>
          <w:lang w:val="fr-CA" w:eastAsia="fr-CA"/>
        </w:rPr>
        <w:t>Le présent document a été établi aux seules fins d’information et de discussion; les avis qui y sont exprimés sont exclusivement ceux de la CDCC. L’information contenue dans le présent document ne peut être modifiée de quelque façon que ce soit. Vous êtes exclusivement responsable de toutes les conséquences découlant de votre utilisation du présent document et de l’information qui se trouve dans le présent site Web. La CDCC décline toute responsabilité à l’égard des dommages, qu’ils soient directs, indirects, spéciaux, accessoires ou d’une autre nature, quelle qu’en soit la cause, qui pourraient découler de l’utilisation du présent document et du présent site Web ou en lien avec l’information de ce document ou de ce site Web. Les lois de la province de Québec et celles du Canada qui sont applicables régissent l’utilisation, l’interprétation et la validité du présent document ainsi que l’effet des modalités d’utilisation du présent document, et ce, sans égard aux conflits de dispositions juridiques et indépendamment de votre territoire de domicile ou de résidence ou de l’endroit où vous vous trouvez. Vous convenez par les présentes vous en remettre à la compétence exclusive des tribunaux de la province de Québec en cas d’action en justice ou de poursuite relative à l’utilisation du présent document. Vous reconnaissez que la CDCC peut modifier, remanier, réviser ou retirer toute information fournie dans le présent document ou dans le présent site Web après sa publication ou la communication de l’information. Le contenu de ce document ou du site Web ne peut être reproduit, republié ou transmis, en tout ou en partie, sous quelque forme ou par quelque moyen que ce soit, sans le consentement écrit préalable de la CDCC. La CDCC se réserve le droit de modifier le présent document en tout temps, sans préavis.</w:t>
      </w:r>
    </w:p>
    <w:p w14:paraId="09875865" w14:textId="25B7171C" w:rsidR="00173E63" w:rsidRDefault="00173E63" w:rsidP="00226D3D">
      <w:pPr>
        <w:jc w:val="center"/>
        <w:rPr>
          <w:b/>
          <w:color w:val="365F91" w:themeColor="accent1" w:themeShade="BF"/>
          <w:sz w:val="28"/>
          <w:lang w:val="fr-CA"/>
        </w:rPr>
      </w:pPr>
    </w:p>
    <w:p w14:paraId="7BFE4211" w14:textId="77777777" w:rsidR="00173E63" w:rsidRPr="001C0132" w:rsidRDefault="00173E63" w:rsidP="00173E63">
      <w:pPr>
        <w:jc w:val="both"/>
        <w:rPr>
          <w:b/>
          <w:color w:val="365F91" w:themeColor="accent1" w:themeShade="BF"/>
          <w:sz w:val="28"/>
          <w:lang w:val="fr-CA"/>
        </w:rPr>
        <w:sectPr w:rsidR="00173E63" w:rsidRPr="001C0132">
          <w:pgSz w:w="12240" w:h="15840"/>
          <w:pgMar w:top="1296" w:right="1296" w:bottom="1296" w:left="1296" w:header="720" w:footer="720" w:gutter="0"/>
          <w:cols w:space="720"/>
        </w:sect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7767"/>
      </w:tblGrid>
      <w:tr w:rsidR="00BB54BE" w:rsidRPr="001C0132" w14:paraId="6C4F6E05" w14:textId="77777777" w:rsidTr="006B76A4">
        <w:trPr>
          <w:trHeight w:val="300"/>
        </w:trPr>
        <w:tc>
          <w:tcPr>
            <w:tcW w:w="1305" w:type="dxa"/>
            <w:tcBorders>
              <w:top w:val="single" w:sz="4" w:space="0" w:color="auto"/>
              <w:left w:val="single" w:sz="4" w:space="0" w:color="auto"/>
              <w:bottom w:val="single" w:sz="4" w:space="0" w:color="auto"/>
              <w:right w:val="single" w:sz="4" w:space="0" w:color="auto"/>
            </w:tcBorders>
            <w:shd w:val="clear" w:color="auto" w:fill="BDD7EE"/>
            <w:noWrap/>
            <w:vAlign w:val="bottom"/>
            <w:hideMark/>
          </w:tcPr>
          <w:p w14:paraId="0F6E62E5" w14:textId="77777777" w:rsidR="00BB54BE" w:rsidRPr="00BB5024" w:rsidRDefault="00BB54BE" w:rsidP="006B76A4">
            <w:pPr>
              <w:spacing w:line="240" w:lineRule="auto"/>
              <w:jc w:val="center"/>
              <w:rPr>
                <w:rFonts w:ascii="Calibri" w:eastAsia="Times New Roman" w:hAnsi="Calibri" w:cs="Times New Roman"/>
                <w:b/>
                <w:bCs/>
                <w:color w:val="000000"/>
                <w:lang w:val="fr-CA"/>
              </w:rPr>
            </w:pPr>
            <w:r w:rsidRPr="00BB5024">
              <w:rPr>
                <w:rFonts w:ascii="Calibri" w:eastAsia="Times New Roman" w:hAnsi="Calibri" w:cs="Times New Roman"/>
                <w:b/>
                <w:bCs/>
                <w:color w:val="000000"/>
                <w:lang w:val="fr-CA"/>
              </w:rPr>
              <w:lastRenderedPageBreak/>
              <w:t xml:space="preserve">Principe </w:t>
            </w:r>
          </w:p>
        </w:tc>
        <w:tc>
          <w:tcPr>
            <w:tcW w:w="7767" w:type="dxa"/>
            <w:tcBorders>
              <w:top w:val="single" w:sz="4" w:space="0" w:color="auto"/>
              <w:left w:val="single" w:sz="4" w:space="0" w:color="auto"/>
              <w:bottom w:val="single" w:sz="4" w:space="0" w:color="auto"/>
              <w:right w:val="single" w:sz="4" w:space="0" w:color="auto"/>
            </w:tcBorders>
            <w:shd w:val="clear" w:color="auto" w:fill="BDD7EE"/>
            <w:noWrap/>
            <w:vAlign w:val="bottom"/>
          </w:tcPr>
          <w:p w14:paraId="18D4B60C" w14:textId="77777777" w:rsidR="00BB54BE" w:rsidRPr="00BB5024" w:rsidRDefault="00BB54BE" w:rsidP="006B76A4">
            <w:pPr>
              <w:spacing w:line="240" w:lineRule="auto"/>
              <w:jc w:val="center"/>
              <w:rPr>
                <w:rFonts w:ascii="Calibri" w:eastAsia="Times New Roman" w:hAnsi="Calibri" w:cs="Times New Roman"/>
                <w:b/>
                <w:bCs/>
                <w:color w:val="000000"/>
                <w:lang w:val="fr-CA"/>
              </w:rPr>
            </w:pPr>
          </w:p>
          <w:p w14:paraId="3358AF72" w14:textId="77777777" w:rsidR="00BB54BE" w:rsidRPr="001C0132" w:rsidRDefault="00BB54BE" w:rsidP="006B76A4">
            <w:pPr>
              <w:spacing w:line="240" w:lineRule="auto"/>
              <w:jc w:val="center"/>
              <w:rPr>
                <w:rFonts w:ascii="Calibri" w:eastAsia="Times New Roman" w:hAnsi="Calibri" w:cs="Times New Roman"/>
                <w:b/>
                <w:bCs/>
                <w:color w:val="000000"/>
                <w:lang w:val="fr-CA"/>
              </w:rPr>
            </w:pPr>
            <w:bookmarkStart w:id="3" w:name="lt_pId004"/>
            <w:r w:rsidRPr="00BB5024">
              <w:rPr>
                <w:rFonts w:ascii="Calibri" w:eastAsia="Times New Roman" w:hAnsi="Calibri" w:cs="Times New Roman"/>
                <w:b/>
                <w:bCs/>
                <w:color w:val="000000"/>
                <w:lang w:val="fr-CA"/>
              </w:rPr>
              <w:t>Remarques</w:t>
            </w:r>
            <w:bookmarkStart w:id="4" w:name="lt_pId007"/>
            <w:bookmarkEnd w:id="3"/>
            <w:bookmarkEnd w:id="4"/>
          </w:p>
        </w:tc>
      </w:tr>
      <w:tr w:rsidR="00BB54BE" w:rsidRPr="00FF5E27" w14:paraId="1F5601CD" w14:textId="77777777" w:rsidTr="006B76A4">
        <w:trPr>
          <w:trHeight w:val="2127"/>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3E3CAC34"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4</w:t>
            </w:r>
          </w:p>
        </w:tc>
        <w:tc>
          <w:tcPr>
            <w:tcW w:w="7767" w:type="dxa"/>
            <w:tcBorders>
              <w:top w:val="single" w:sz="4" w:space="0" w:color="auto"/>
              <w:left w:val="single" w:sz="4" w:space="0" w:color="auto"/>
              <w:bottom w:val="single" w:sz="4" w:space="0" w:color="auto"/>
              <w:right w:val="single" w:sz="4" w:space="0" w:color="auto"/>
            </w:tcBorders>
            <w:vAlign w:val="center"/>
          </w:tcPr>
          <w:p w14:paraId="38A7206E" w14:textId="77777777" w:rsidR="00BB54BE" w:rsidRPr="001C0132" w:rsidRDefault="00BB54BE" w:rsidP="006B76A4">
            <w:pPr>
              <w:spacing w:line="240" w:lineRule="auto"/>
              <w:rPr>
                <w:rFonts w:ascii="Calibri" w:eastAsia="Times New Roman" w:hAnsi="Calibri" w:cs="Times New Roman"/>
                <w:color w:val="000000"/>
                <w:lang w:val="fr-CA"/>
              </w:rPr>
            </w:pPr>
          </w:p>
          <w:p w14:paraId="0DA2A724" w14:textId="5738965B" w:rsidR="00BB54BE" w:rsidRDefault="00BB54BE" w:rsidP="006B76A4">
            <w:pPr>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4.1</w:t>
            </w:r>
            <w:r w:rsidRPr="00BB5024">
              <w:rPr>
                <w:rFonts w:ascii="Calibri" w:eastAsia="Times New Roman" w:hAnsi="Calibri" w:cs="Times New Roman"/>
                <w:b/>
                <w:i/>
                <w:color w:val="000000"/>
                <w:lang w:val="fr-CA"/>
              </w:rPr>
              <w:t xml:space="preserve">. </w:t>
            </w:r>
            <w:r w:rsidR="00141FA6">
              <w:rPr>
                <w:rFonts w:ascii="Calibri" w:eastAsia="Times New Roman" w:hAnsi="Calibri" w:cs="Times New Roman"/>
                <w:b/>
                <w:i/>
                <w:color w:val="000000"/>
                <w:lang w:val="fr-CA"/>
              </w:rPr>
              <w:t>Ressources financières préfinancées de la CDCC</w:t>
            </w:r>
          </w:p>
          <w:p w14:paraId="758ADA22" w14:textId="77777777" w:rsidR="00C46C0E" w:rsidRPr="001C0132" w:rsidRDefault="00C46C0E" w:rsidP="006B76A4">
            <w:pPr>
              <w:jc w:val="both"/>
              <w:rPr>
                <w:rFonts w:ascii="Calibri" w:eastAsia="Times New Roman" w:hAnsi="Calibri" w:cs="Times New Roman"/>
                <w:b/>
                <w:i/>
                <w:color w:val="000000"/>
                <w:lang w:val="fr-CA"/>
              </w:rPr>
            </w:pPr>
          </w:p>
          <w:p w14:paraId="33F2B684" w14:textId="77777777" w:rsidR="00BB54BE" w:rsidRPr="00C46C0E" w:rsidRDefault="00BB54BE" w:rsidP="006B76A4">
            <w:pPr>
              <w:jc w:val="both"/>
              <w:rPr>
                <w:b/>
                <w:u w:val="single"/>
                <w:lang w:val="fr-CA"/>
              </w:rPr>
            </w:pPr>
            <w:bookmarkStart w:id="5" w:name="lt_pId008"/>
            <w:r w:rsidRPr="00C46C0E">
              <w:rPr>
                <w:b/>
                <w:u w:val="single"/>
                <w:lang w:val="fr-CA"/>
              </w:rPr>
              <w:t>Ressources du membre compensateur défaillant</w:t>
            </w:r>
            <w:bookmarkEnd w:id="5"/>
          </w:p>
          <w:p w14:paraId="0150C6C4" w14:textId="30ED01A4" w:rsidR="00BB54BE" w:rsidRPr="00C46C0E" w:rsidRDefault="00BB54BE" w:rsidP="006B76A4">
            <w:pPr>
              <w:ind w:left="249"/>
              <w:jc w:val="both"/>
              <w:rPr>
                <w:lang w:val="fr-CA"/>
              </w:rPr>
            </w:pPr>
            <w:bookmarkStart w:id="6" w:name="lt_pId009"/>
            <w:r w:rsidRPr="00C46C0E">
              <w:rPr>
                <w:b/>
                <w:lang w:val="fr-CA"/>
              </w:rPr>
              <w:t xml:space="preserve">Dépôt de </w:t>
            </w:r>
            <w:r w:rsidR="00502930" w:rsidRPr="00C46C0E">
              <w:rPr>
                <w:b/>
                <w:lang w:val="fr-CA"/>
              </w:rPr>
              <w:t xml:space="preserve">garantie </w:t>
            </w:r>
            <w:r w:rsidRPr="00C46C0E">
              <w:rPr>
                <w:b/>
                <w:lang w:val="fr-CA"/>
              </w:rPr>
              <w:t>du membre compensateur défaillant </w:t>
            </w:r>
            <w:r w:rsidRPr="00C46C0E">
              <w:rPr>
                <w:lang w:val="fr-CA"/>
              </w:rPr>
              <w:t>:</w:t>
            </w:r>
            <w:bookmarkEnd w:id="6"/>
            <w:r w:rsidRPr="00C46C0E">
              <w:rPr>
                <w:lang w:val="fr-CA"/>
              </w:rPr>
              <w:t xml:space="preserve"> </w:t>
            </w:r>
          </w:p>
          <w:p w14:paraId="12E5F465" w14:textId="32CD796F" w:rsidR="00BB54BE" w:rsidRPr="00C46C0E" w:rsidRDefault="00BB54BE" w:rsidP="006B76A4">
            <w:pPr>
              <w:ind w:left="249"/>
              <w:jc w:val="both"/>
              <w:rPr>
                <w:lang w:val="fr-CA"/>
              </w:rPr>
            </w:pPr>
            <w:bookmarkStart w:id="7" w:name="lt_pId010"/>
            <w:r w:rsidRPr="00C46C0E">
              <w:rPr>
                <w:lang w:val="fr-CA"/>
              </w:rPr>
              <w:t xml:space="preserve">La première ligne de protection financière est le dépôt de </w:t>
            </w:r>
            <w:r w:rsidR="00502930" w:rsidRPr="00C46C0E">
              <w:rPr>
                <w:lang w:val="fr-CA"/>
              </w:rPr>
              <w:t xml:space="preserve">garantie </w:t>
            </w:r>
            <w:r w:rsidRPr="00C46C0E">
              <w:rPr>
                <w:lang w:val="fr-CA"/>
              </w:rPr>
              <w:t xml:space="preserve">que le membre compensateur défaillant </w:t>
            </w:r>
            <w:r w:rsidR="00C92937">
              <w:rPr>
                <w:lang w:val="fr-CA"/>
              </w:rPr>
              <w:t>dépose</w:t>
            </w:r>
            <w:r w:rsidRPr="00C46C0E">
              <w:rPr>
                <w:lang w:val="fr-CA"/>
              </w:rPr>
              <w:t xml:space="preserve"> dans le cadre du processus courant de constitution d’une garantie de la Société.</w:t>
            </w:r>
            <w:bookmarkEnd w:id="7"/>
          </w:p>
          <w:p w14:paraId="1ADD7A19" w14:textId="77777777" w:rsidR="00BB54BE" w:rsidRPr="00C46C0E" w:rsidRDefault="00BB54BE" w:rsidP="006B76A4">
            <w:pPr>
              <w:ind w:left="249"/>
              <w:jc w:val="both"/>
              <w:rPr>
                <w:lang w:val="fr-CA"/>
              </w:rPr>
            </w:pPr>
            <w:bookmarkStart w:id="8" w:name="lt_pId011"/>
            <w:r w:rsidRPr="00C46C0E">
              <w:rPr>
                <w:b/>
                <w:lang w:val="fr-CA"/>
              </w:rPr>
              <w:t>Contribution du membre compensateur défaillant au fonds de compensation </w:t>
            </w:r>
            <w:r w:rsidRPr="00C46C0E">
              <w:rPr>
                <w:lang w:val="fr-CA"/>
              </w:rPr>
              <w:t>:</w:t>
            </w:r>
            <w:bookmarkEnd w:id="8"/>
            <w:r w:rsidRPr="00C46C0E">
              <w:rPr>
                <w:lang w:val="fr-CA"/>
              </w:rPr>
              <w:t xml:space="preserve"> </w:t>
            </w:r>
          </w:p>
          <w:p w14:paraId="3DA1C0ED" w14:textId="4420C1FA" w:rsidR="00BB54BE" w:rsidRPr="00C46C0E" w:rsidRDefault="004F3D5F" w:rsidP="006B76A4">
            <w:pPr>
              <w:ind w:left="249"/>
              <w:jc w:val="both"/>
              <w:rPr>
                <w:lang w:val="fr-CA"/>
              </w:rPr>
            </w:pPr>
            <w:bookmarkStart w:id="9" w:name="lt_pId012"/>
            <w:r>
              <w:rPr>
                <w:lang w:val="fr-CA"/>
              </w:rPr>
              <w:t>Après avoir</w:t>
            </w:r>
            <w:r w:rsidR="00BB54BE" w:rsidRPr="00C46C0E">
              <w:rPr>
                <w:lang w:val="fr-CA"/>
              </w:rPr>
              <w:t xml:space="preserve"> épuisé le</w:t>
            </w:r>
            <w:r>
              <w:rPr>
                <w:lang w:val="fr-CA"/>
              </w:rPr>
              <w:t>s fonds du</w:t>
            </w:r>
            <w:r w:rsidR="00BB54BE" w:rsidRPr="00C46C0E">
              <w:rPr>
                <w:lang w:val="fr-CA"/>
              </w:rPr>
              <w:t xml:space="preserve"> dépôt de garantie du membre compensateur défaillant, </w:t>
            </w:r>
            <w:r>
              <w:rPr>
                <w:lang w:val="fr-CA"/>
              </w:rPr>
              <w:t>la Société</w:t>
            </w:r>
            <w:r w:rsidRPr="00C46C0E">
              <w:rPr>
                <w:lang w:val="fr-CA"/>
              </w:rPr>
              <w:t xml:space="preserve"> </w:t>
            </w:r>
            <w:r w:rsidR="00BB54BE" w:rsidRPr="00C46C0E">
              <w:rPr>
                <w:lang w:val="fr-CA"/>
              </w:rPr>
              <w:t xml:space="preserve">emploie </w:t>
            </w:r>
            <w:r>
              <w:rPr>
                <w:lang w:val="fr-CA"/>
              </w:rPr>
              <w:t>les contributions du membre compensateur au fonds de compensation</w:t>
            </w:r>
            <w:r w:rsidR="00BB54BE" w:rsidRPr="00C46C0E">
              <w:rPr>
                <w:lang w:val="fr-CA"/>
              </w:rPr>
              <w:t xml:space="preserve"> </w:t>
            </w:r>
            <w:r w:rsidR="00C92937">
              <w:rPr>
                <w:lang w:val="fr-CA"/>
              </w:rPr>
              <w:t>afin d’atténuer</w:t>
            </w:r>
            <w:r w:rsidR="00BB54BE" w:rsidRPr="00C46C0E">
              <w:rPr>
                <w:lang w:val="fr-CA"/>
              </w:rPr>
              <w:t xml:space="preserve"> la perte.</w:t>
            </w:r>
            <w:bookmarkEnd w:id="9"/>
          </w:p>
          <w:p w14:paraId="017309E6" w14:textId="58E11314" w:rsidR="00BB54BE" w:rsidRPr="00C46C0E" w:rsidRDefault="00BB54BE" w:rsidP="006B76A4">
            <w:pPr>
              <w:jc w:val="both"/>
              <w:rPr>
                <w:b/>
                <w:u w:val="single"/>
                <w:lang w:val="fr-CA"/>
              </w:rPr>
            </w:pPr>
            <w:bookmarkStart w:id="10" w:name="lt_pId013"/>
            <w:r w:rsidRPr="00C46C0E">
              <w:rPr>
                <w:b/>
                <w:u w:val="single"/>
                <w:lang w:val="fr-CA"/>
              </w:rPr>
              <w:t>Ressources de la Société et du système</w:t>
            </w:r>
            <w:bookmarkEnd w:id="10"/>
            <w:r w:rsidR="004F3D5F">
              <w:rPr>
                <w:b/>
                <w:u w:val="single"/>
                <w:lang w:val="fr-CA"/>
              </w:rPr>
              <w:t xml:space="preserve"> </w:t>
            </w:r>
          </w:p>
          <w:p w14:paraId="354F647E" w14:textId="4B9D9BF8" w:rsidR="00BB54BE" w:rsidRPr="00C46C0E" w:rsidRDefault="004F3D5F" w:rsidP="006B76A4">
            <w:pPr>
              <w:ind w:left="249"/>
              <w:jc w:val="both"/>
              <w:rPr>
                <w:lang w:val="fr-CA"/>
              </w:rPr>
            </w:pPr>
            <w:bookmarkStart w:id="11" w:name="lt_pId014"/>
            <w:r>
              <w:rPr>
                <w:lang w:val="fr-CA"/>
              </w:rPr>
              <w:t>S’il demeure un déficit après avoir épuisé les ressources du membre compensateur défaillant,</w:t>
            </w:r>
            <w:r w:rsidR="007E59AA">
              <w:rPr>
                <w:lang w:val="fr-CA"/>
              </w:rPr>
              <w:t xml:space="preserve"> </w:t>
            </w:r>
            <w:r w:rsidR="00BB54BE" w:rsidRPr="00C46C0E">
              <w:rPr>
                <w:lang w:val="fr-CA"/>
              </w:rPr>
              <w:t xml:space="preserve">la Société </w:t>
            </w:r>
            <w:r>
              <w:rPr>
                <w:lang w:val="fr-CA"/>
              </w:rPr>
              <w:t>emploie</w:t>
            </w:r>
            <w:r w:rsidR="00BB54BE" w:rsidRPr="00C46C0E">
              <w:rPr>
                <w:lang w:val="fr-CA"/>
              </w:rPr>
              <w:t xml:space="preserve"> les ressources communes du système pour couvrir la perte</w:t>
            </w:r>
            <w:bookmarkStart w:id="12" w:name="lt_pId015"/>
            <w:bookmarkEnd w:id="11"/>
            <w:bookmarkEnd w:id="12"/>
            <w:r>
              <w:rPr>
                <w:lang w:val="fr-CA"/>
              </w:rPr>
              <w:t>. Il s’agit de</w:t>
            </w:r>
            <w:r w:rsidR="00DD546E" w:rsidRPr="00C46C0E">
              <w:rPr>
                <w:lang w:val="fr-CA"/>
              </w:rPr>
              <w:t> :</w:t>
            </w:r>
          </w:p>
          <w:p w14:paraId="41CF087F" w14:textId="77777777" w:rsidR="00BB54BE" w:rsidRPr="00C46C0E" w:rsidRDefault="00BB54BE" w:rsidP="006B76A4">
            <w:pPr>
              <w:ind w:left="249"/>
              <w:jc w:val="both"/>
              <w:rPr>
                <w:lang w:val="fr-CA"/>
              </w:rPr>
            </w:pPr>
            <w:r w:rsidRPr="00C46C0E">
              <w:rPr>
                <w:b/>
                <w:lang w:val="fr-CA"/>
              </w:rPr>
              <w:t>Ressources en capital de la Société</w:t>
            </w:r>
            <w:r w:rsidRPr="00C46C0E">
              <w:rPr>
                <w:lang w:val="fr-CA"/>
              </w:rPr>
              <w:t xml:space="preserve"> </w:t>
            </w:r>
          </w:p>
          <w:p w14:paraId="3E85C37F" w14:textId="62D9D131" w:rsidR="00BB54BE" w:rsidRPr="00C46C0E" w:rsidRDefault="004F3D5F" w:rsidP="006B76A4">
            <w:pPr>
              <w:ind w:left="249"/>
              <w:jc w:val="both"/>
              <w:rPr>
                <w:lang w:val="fr-CA"/>
              </w:rPr>
            </w:pPr>
            <w:bookmarkStart w:id="13" w:name="lt_pId016"/>
            <w:r>
              <w:rPr>
                <w:lang w:val="fr-CA"/>
              </w:rPr>
              <w:t>D’abord, l</w:t>
            </w:r>
            <w:r w:rsidRPr="00C46C0E">
              <w:rPr>
                <w:lang w:val="fr-CA"/>
              </w:rPr>
              <w:t xml:space="preserve">a </w:t>
            </w:r>
            <w:r w:rsidR="00BB54BE" w:rsidRPr="00C46C0E">
              <w:rPr>
                <w:lang w:val="fr-CA"/>
              </w:rPr>
              <w:t xml:space="preserve">Société </w:t>
            </w:r>
            <w:r>
              <w:rPr>
                <w:lang w:val="fr-CA"/>
              </w:rPr>
              <w:t>emploie</w:t>
            </w:r>
            <w:r w:rsidR="00BB54BE" w:rsidRPr="00C46C0E">
              <w:rPr>
                <w:lang w:val="fr-CA"/>
              </w:rPr>
              <w:t xml:space="preserve"> son propre capital, mais uniquement </w:t>
            </w:r>
            <w:r>
              <w:rPr>
                <w:lang w:val="fr-CA"/>
              </w:rPr>
              <w:t>l</w:t>
            </w:r>
            <w:r w:rsidR="00BB54BE" w:rsidRPr="00C46C0E">
              <w:rPr>
                <w:lang w:val="fr-CA"/>
              </w:rPr>
              <w:t xml:space="preserve">es réserves de capital mises de côté à cette fin, </w:t>
            </w:r>
            <w:r w:rsidR="00C92937">
              <w:rPr>
                <w:lang w:val="fr-CA"/>
              </w:rPr>
              <w:t>qui</w:t>
            </w:r>
            <w:r w:rsidR="00BB54BE" w:rsidRPr="00C46C0E">
              <w:rPr>
                <w:lang w:val="fr-CA"/>
              </w:rPr>
              <w:t xml:space="preserve"> se chiffrent actuellement à un maximum de </w:t>
            </w:r>
            <w:r w:rsidR="00102C84">
              <w:rPr>
                <w:lang w:val="fr-CA"/>
              </w:rPr>
              <w:t>1</w:t>
            </w:r>
            <w:r w:rsidR="00BB54BE" w:rsidRPr="00C46C0E">
              <w:rPr>
                <w:lang w:val="fr-CA"/>
              </w:rPr>
              <w:t>5 millions de dollars.</w:t>
            </w:r>
            <w:bookmarkEnd w:id="13"/>
          </w:p>
          <w:p w14:paraId="2CA9A8B8" w14:textId="77777777" w:rsidR="00BB54BE" w:rsidRPr="00C46C0E" w:rsidRDefault="00BB54BE" w:rsidP="006B76A4">
            <w:pPr>
              <w:ind w:left="249"/>
              <w:jc w:val="both"/>
              <w:rPr>
                <w:b/>
                <w:lang w:val="fr-CA"/>
              </w:rPr>
            </w:pPr>
            <w:bookmarkStart w:id="14" w:name="lt_pId017"/>
            <w:r w:rsidRPr="00C46C0E">
              <w:rPr>
                <w:b/>
                <w:lang w:val="fr-CA"/>
              </w:rPr>
              <w:t>Dépôts au fonds de compensation des autres membres compensateurs :</w:t>
            </w:r>
            <w:bookmarkEnd w:id="14"/>
            <w:r w:rsidRPr="00C46C0E">
              <w:rPr>
                <w:b/>
                <w:lang w:val="fr-CA"/>
              </w:rPr>
              <w:t xml:space="preserve"> </w:t>
            </w:r>
          </w:p>
          <w:p w14:paraId="03BA5C8F" w14:textId="2908BC30" w:rsidR="00BB54BE" w:rsidRPr="00C46C0E" w:rsidRDefault="004F3D5F" w:rsidP="006B76A4">
            <w:pPr>
              <w:ind w:left="249"/>
              <w:jc w:val="both"/>
              <w:rPr>
                <w:lang w:val="fr-CA"/>
              </w:rPr>
            </w:pPr>
            <w:bookmarkStart w:id="15" w:name="lt_pId018"/>
            <w:r>
              <w:rPr>
                <w:lang w:val="fr-CA"/>
              </w:rPr>
              <w:t>Ensuite, la Société emploie</w:t>
            </w:r>
            <w:r w:rsidR="00BB54BE" w:rsidRPr="00C46C0E">
              <w:rPr>
                <w:lang w:val="fr-CA"/>
              </w:rPr>
              <w:t xml:space="preserve"> les soldes restants du fonds de compensation, sur une base proportionnelle établie d’après la taille de la contribution de chaque membre compensateur.</w:t>
            </w:r>
            <w:bookmarkStart w:id="16" w:name="lt_pId019"/>
            <w:bookmarkEnd w:id="15"/>
            <w:bookmarkEnd w:id="16"/>
          </w:p>
          <w:p w14:paraId="1F7D98E4" w14:textId="5ECD69A1" w:rsidR="00BB54BE" w:rsidRPr="00C46C0E" w:rsidRDefault="004F3D5F" w:rsidP="006B76A4">
            <w:pPr>
              <w:ind w:left="249"/>
              <w:jc w:val="both"/>
              <w:rPr>
                <w:lang w:val="fr-CA"/>
              </w:rPr>
            </w:pPr>
            <w:r>
              <w:rPr>
                <w:b/>
                <w:lang w:val="fr-CA"/>
              </w:rPr>
              <w:t>Appel de fonds des autres membres compensateurs</w:t>
            </w:r>
          </w:p>
          <w:p w14:paraId="305F2C7C" w14:textId="74462CD5" w:rsidR="00BB54BE" w:rsidRPr="001C0132" w:rsidRDefault="00BB54BE" w:rsidP="006B76A4">
            <w:pPr>
              <w:ind w:left="249"/>
              <w:jc w:val="both"/>
              <w:rPr>
                <w:lang w:val="fr-CA"/>
              </w:rPr>
            </w:pPr>
            <w:bookmarkStart w:id="17" w:name="lt_pId020"/>
            <w:r w:rsidRPr="00C46C0E">
              <w:rPr>
                <w:lang w:val="fr-CA"/>
              </w:rPr>
              <w:t xml:space="preserve">Si, après l’application de l’ensemble des correctifs décrits ci-dessus, il demeure une perte, la Société </w:t>
            </w:r>
            <w:r w:rsidR="00C92937">
              <w:rPr>
                <w:lang w:val="fr-CA"/>
              </w:rPr>
              <w:t>peut</w:t>
            </w:r>
            <w:r w:rsidR="004F3D5F">
              <w:rPr>
                <w:lang w:val="fr-CA"/>
              </w:rPr>
              <w:t xml:space="preserve"> </w:t>
            </w:r>
            <w:r w:rsidRPr="00C46C0E">
              <w:rPr>
                <w:lang w:val="fr-CA"/>
              </w:rPr>
              <w:t>alors</w:t>
            </w:r>
            <w:r w:rsidRPr="00C46C0E">
              <w:rPr>
                <w:rFonts w:ascii="Calibri" w:eastAsia="Times New Roman" w:hAnsi="Calibri" w:cs="Times New Roman"/>
                <w:color w:val="000000"/>
                <w:lang w:val="fr-CA"/>
              </w:rPr>
              <w:t xml:space="preserve"> demander </w:t>
            </w:r>
            <w:r w:rsidR="002103D9">
              <w:rPr>
                <w:rFonts w:ascii="Calibri" w:eastAsia="Times New Roman" w:hAnsi="Calibri" w:cs="Times New Roman"/>
                <w:color w:val="000000"/>
                <w:lang w:val="fr-CA"/>
              </w:rPr>
              <w:t>aux</w:t>
            </w:r>
            <w:r w:rsidRPr="00C46C0E">
              <w:rPr>
                <w:rFonts w:ascii="Calibri" w:eastAsia="Times New Roman" w:hAnsi="Calibri" w:cs="Times New Roman"/>
                <w:color w:val="000000"/>
                <w:lang w:val="fr-CA"/>
              </w:rPr>
              <w:t xml:space="preserve"> membres compensateurs restants </w:t>
            </w:r>
            <w:r w:rsidR="002103D9">
              <w:rPr>
                <w:rFonts w:ascii="Calibri" w:eastAsia="Times New Roman" w:hAnsi="Calibri" w:cs="Times New Roman"/>
                <w:color w:val="000000"/>
                <w:lang w:val="fr-CA"/>
              </w:rPr>
              <w:t xml:space="preserve">de </w:t>
            </w:r>
            <w:r w:rsidR="002103D9" w:rsidRPr="00C46C0E">
              <w:rPr>
                <w:rFonts w:ascii="Calibri" w:eastAsia="Times New Roman" w:hAnsi="Calibri" w:cs="Times New Roman"/>
                <w:color w:val="000000"/>
                <w:lang w:val="fr-CA"/>
              </w:rPr>
              <w:t>reconstitue</w:t>
            </w:r>
            <w:r w:rsidR="002103D9">
              <w:rPr>
                <w:rFonts w:ascii="Calibri" w:eastAsia="Times New Roman" w:hAnsi="Calibri" w:cs="Times New Roman"/>
                <w:color w:val="000000"/>
                <w:lang w:val="fr-CA"/>
              </w:rPr>
              <w:t>r</w:t>
            </w:r>
            <w:r w:rsidR="002103D9" w:rsidRPr="00C46C0E">
              <w:rPr>
                <w:rFonts w:ascii="Calibri" w:eastAsia="Times New Roman" w:hAnsi="Calibri" w:cs="Times New Roman"/>
                <w:color w:val="000000"/>
                <w:lang w:val="fr-CA"/>
              </w:rPr>
              <w:t xml:space="preserve"> </w:t>
            </w:r>
            <w:r w:rsidRPr="00C46C0E">
              <w:rPr>
                <w:rFonts w:ascii="Calibri" w:eastAsia="Times New Roman" w:hAnsi="Calibri" w:cs="Times New Roman"/>
                <w:color w:val="000000"/>
                <w:lang w:val="fr-CA"/>
              </w:rPr>
              <w:t xml:space="preserve">leur contribution initiale au fonds de compensation et </w:t>
            </w:r>
            <w:r w:rsidR="00C92937">
              <w:rPr>
                <w:rFonts w:ascii="Calibri" w:eastAsia="Times New Roman" w:hAnsi="Calibri" w:cs="Times New Roman"/>
                <w:color w:val="000000"/>
                <w:lang w:val="fr-CA"/>
              </w:rPr>
              <w:t xml:space="preserve">ainsi </w:t>
            </w:r>
            <w:r w:rsidR="002103D9">
              <w:rPr>
                <w:rFonts w:ascii="Calibri" w:eastAsia="Times New Roman" w:hAnsi="Calibri" w:cs="Times New Roman"/>
                <w:color w:val="000000"/>
                <w:lang w:val="fr-CA"/>
              </w:rPr>
              <w:t>avoir</w:t>
            </w:r>
            <w:r w:rsidR="002103D9" w:rsidRPr="00C46C0E">
              <w:rPr>
                <w:rFonts w:ascii="Calibri" w:eastAsia="Times New Roman" w:hAnsi="Calibri" w:cs="Times New Roman"/>
                <w:color w:val="000000"/>
                <w:lang w:val="fr-CA"/>
              </w:rPr>
              <w:t xml:space="preserve"> </w:t>
            </w:r>
            <w:r w:rsidRPr="00C46C0E">
              <w:rPr>
                <w:rFonts w:ascii="Calibri" w:eastAsia="Times New Roman" w:hAnsi="Calibri" w:cs="Times New Roman"/>
                <w:color w:val="000000"/>
                <w:lang w:val="fr-CA"/>
              </w:rPr>
              <w:t>recours, sur une base proportionnelle selon l’exposition de la CDCC à chaque membre compensateur restant, à un montant dont le total satisfait l’obligation en cours.</w:t>
            </w:r>
            <w:bookmarkEnd w:id="17"/>
          </w:p>
          <w:p w14:paraId="4E3A59BA" w14:textId="3B3E5BAE" w:rsidR="00BB54BE" w:rsidRPr="001C0132" w:rsidRDefault="00BB54BE" w:rsidP="006B76A4">
            <w:pPr>
              <w:spacing w:line="240" w:lineRule="auto"/>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r w:rsidRPr="001C0132">
              <w:rPr>
                <w:rFonts w:ascii="Calibri" w:eastAsia="Times New Roman" w:hAnsi="Calibri" w:cs="Times New Roman"/>
                <w:b/>
                <w:i/>
                <w:color w:val="000000"/>
                <w:lang w:val="fr-CA"/>
              </w:rPr>
              <w:t xml:space="preserve">4.1.8. </w:t>
            </w:r>
            <w:bookmarkStart w:id="18" w:name="lt_pId022"/>
            <w:r w:rsidRPr="001C0132">
              <w:rPr>
                <w:rFonts w:ascii="Calibri" w:eastAsia="Times New Roman" w:hAnsi="Calibri" w:cs="Times New Roman"/>
                <w:b/>
                <w:i/>
                <w:color w:val="000000"/>
                <w:lang w:val="fr-CA"/>
              </w:rPr>
              <w:t>Engagement</w:t>
            </w:r>
            <w:r w:rsidR="00DD546E">
              <w:rPr>
                <w:rFonts w:ascii="Calibri" w:eastAsia="Times New Roman" w:hAnsi="Calibri" w:cs="Times New Roman"/>
                <w:b/>
                <w:i/>
                <w:color w:val="000000"/>
                <w:lang w:val="fr-CA"/>
              </w:rPr>
              <w:t xml:space="preserve"> —</w:t>
            </w:r>
            <w:r w:rsidRPr="001C0132">
              <w:rPr>
                <w:rFonts w:ascii="Calibri" w:eastAsia="Times New Roman" w:hAnsi="Calibri" w:cs="Times New Roman"/>
                <w:b/>
                <w:i/>
                <w:color w:val="000000"/>
                <w:lang w:val="fr-CA"/>
              </w:rPr>
              <w:t xml:space="preserve"> Ressources globales des participants engagées pour répondre à </w:t>
            </w:r>
            <w:bookmarkEnd w:id="18"/>
            <w:r w:rsidRPr="001C0132">
              <w:rPr>
                <w:rFonts w:ascii="Calibri" w:eastAsia="Times New Roman" w:hAnsi="Calibri" w:cs="Times New Roman"/>
                <w:b/>
                <w:i/>
                <w:color w:val="000000"/>
                <w:lang w:val="fr-CA"/>
              </w:rPr>
              <w:t>la défaillance du participant initial</w:t>
            </w:r>
            <w:r w:rsidRPr="001C0132">
              <w:rPr>
                <w:rFonts w:ascii="Calibri" w:eastAsia="Times New Roman" w:hAnsi="Calibri" w:cs="Times New Roman"/>
                <w:color w:val="000000"/>
                <w:lang w:val="fr-CA"/>
              </w:rPr>
              <w:br/>
            </w:r>
          </w:p>
          <w:p w14:paraId="2F9115C1" w14:textId="77777777" w:rsidR="00BB54BE" w:rsidRPr="001C0132" w:rsidRDefault="00BB54BE" w:rsidP="006B76A4">
            <w:pPr>
              <w:spacing w:line="240" w:lineRule="auto"/>
              <w:jc w:val="both"/>
              <w:rPr>
                <w:rFonts w:ascii="Calibri" w:eastAsia="Times New Roman" w:hAnsi="Calibri" w:cs="Times New Roman"/>
                <w:color w:val="000000"/>
                <w:lang w:val="fr-CA"/>
              </w:rPr>
            </w:pPr>
            <w:bookmarkStart w:id="19" w:name="lt_pId023"/>
            <w:r w:rsidRPr="001C0132">
              <w:rPr>
                <w:rFonts w:ascii="Calibri" w:eastAsia="Times New Roman" w:hAnsi="Calibri" w:cs="Times New Roman"/>
                <w:color w:val="000000"/>
                <w:lang w:val="fr-CA"/>
              </w:rPr>
              <w:t>Les ressources engagées par la CDCC pour les cas de défaut sont principalement composées de la reconstitution du deuxième fonds de compensation que réduirait la contribution du défaillant en cas de défaut.</w:t>
            </w:r>
            <w:bookmarkEnd w:id="19"/>
            <w:r w:rsidRPr="001C0132">
              <w:rPr>
                <w:rFonts w:ascii="Calibri" w:eastAsia="Times New Roman" w:hAnsi="Calibri" w:cs="Times New Roman"/>
                <w:color w:val="000000"/>
                <w:lang w:val="fr-CA"/>
              </w:rPr>
              <w:t xml:space="preserve"> </w:t>
            </w:r>
            <w:bookmarkStart w:id="20" w:name="lt_pId024"/>
            <w:r w:rsidRPr="001C0132">
              <w:rPr>
                <w:rFonts w:ascii="Calibri" w:eastAsia="Times New Roman" w:hAnsi="Calibri" w:cs="Times New Roman"/>
                <w:color w:val="000000"/>
                <w:lang w:val="fr-CA"/>
              </w:rPr>
              <w:t>Par conséquent, puisque le défaillant est inconnu, le montant déclaré des ressources engagées correspond à la taille du fonds de compensation.</w:t>
            </w:r>
            <w:bookmarkEnd w:id="20"/>
          </w:p>
          <w:p w14:paraId="767D9FD6" w14:textId="77777777" w:rsidR="00BB54BE" w:rsidRPr="001C0132" w:rsidRDefault="00BB54BE" w:rsidP="006B76A4">
            <w:pPr>
              <w:rPr>
                <w:rFonts w:ascii="Calibri" w:eastAsia="Times New Roman" w:hAnsi="Calibri" w:cs="Times New Roman"/>
                <w:color w:val="000000"/>
                <w:lang w:val="fr-CA"/>
              </w:rPr>
            </w:pPr>
          </w:p>
          <w:p w14:paraId="4C69CCDA" w14:textId="77777777" w:rsidR="00BB54BE" w:rsidRPr="001C0132" w:rsidRDefault="00BB54BE" w:rsidP="006B76A4">
            <w:pPr>
              <w:spacing w:line="240" w:lineRule="auto"/>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4.4. Divulgations portant sur le risque de crédit</w:t>
            </w:r>
          </w:p>
          <w:p w14:paraId="11E4A7A2" w14:textId="77777777" w:rsidR="00BB54BE" w:rsidRPr="001C0132" w:rsidRDefault="00BB54BE" w:rsidP="006B76A4">
            <w:pPr>
              <w:spacing w:line="240" w:lineRule="auto"/>
              <w:rPr>
                <w:rFonts w:ascii="Calibri" w:eastAsia="Times New Roman" w:hAnsi="Calibri" w:cs="Times New Roman"/>
                <w:b/>
                <w:i/>
                <w:color w:val="000000"/>
                <w:lang w:val="fr-CA"/>
              </w:rPr>
            </w:pPr>
          </w:p>
          <w:p w14:paraId="68260851" w14:textId="77777777" w:rsidR="00BB54BE" w:rsidRPr="001C0132" w:rsidRDefault="00BB54BE" w:rsidP="00BB54BE">
            <w:pPr>
              <w:pStyle w:val="ListParagraph"/>
              <w:numPr>
                <w:ilvl w:val="0"/>
                <w:numId w:val="29"/>
              </w:numPr>
              <w:spacing w:line="276" w:lineRule="auto"/>
              <w:contextualSpacing/>
              <w:jc w:val="both"/>
              <w:rPr>
                <w:color w:val="000000"/>
                <w:lang w:eastAsia="en-US"/>
              </w:rPr>
            </w:pPr>
            <w:bookmarkStart w:id="21" w:name="lt_pId029"/>
            <w:r w:rsidRPr="001C0132">
              <w:rPr>
                <w:color w:val="000000"/>
                <w:lang w:eastAsia="en-US"/>
              </w:rPr>
              <w:t>L’exposition estimée et réelle au risque de crédit est calculée en fonction de la marge initiale requise.</w:t>
            </w:r>
            <w:bookmarkEnd w:id="21"/>
          </w:p>
          <w:p w14:paraId="1619FA9F" w14:textId="39C06C5D" w:rsidR="00BB54BE" w:rsidRDefault="00BB54BE" w:rsidP="00BB54BE">
            <w:pPr>
              <w:pStyle w:val="ListParagraph"/>
              <w:numPr>
                <w:ilvl w:val="0"/>
                <w:numId w:val="29"/>
              </w:numPr>
              <w:spacing w:line="276" w:lineRule="auto"/>
              <w:contextualSpacing/>
              <w:jc w:val="both"/>
              <w:rPr>
                <w:color w:val="000000"/>
                <w:lang w:eastAsia="en-US"/>
              </w:rPr>
            </w:pPr>
            <w:bookmarkStart w:id="22" w:name="lt_pId030"/>
            <w:r w:rsidRPr="001C0132">
              <w:rPr>
                <w:color w:val="000000"/>
                <w:lang w:eastAsia="en-US"/>
              </w:rPr>
              <w:t xml:space="preserve">L’exposition au risque de </w:t>
            </w:r>
            <w:r w:rsidR="00533713" w:rsidRPr="001C0132">
              <w:rPr>
                <w:color w:val="000000"/>
                <w:lang w:eastAsia="en-US"/>
              </w:rPr>
              <w:t>crédit</w:t>
            </w:r>
            <w:r w:rsidRPr="001C0132">
              <w:rPr>
                <w:color w:val="000000"/>
                <w:lang w:eastAsia="en-US"/>
              </w:rPr>
              <w:t xml:space="preserve"> est établie à zéro si elle génère un rapport profits et pertes positif.</w:t>
            </w:r>
            <w:bookmarkEnd w:id="22"/>
          </w:p>
          <w:p w14:paraId="260A00FB" w14:textId="4F308881" w:rsidR="00F86D3B" w:rsidRPr="00F86D3B" w:rsidRDefault="00F86D3B" w:rsidP="00F86D3B">
            <w:pPr>
              <w:pStyle w:val="ListParagraph"/>
              <w:numPr>
                <w:ilvl w:val="0"/>
                <w:numId w:val="29"/>
              </w:numPr>
              <w:contextualSpacing/>
              <w:jc w:val="both"/>
              <w:rPr>
                <w:color w:val="000000"/>
                <w:lang w:eastAsia="en-US"/>
              </w:rPr>
            </w:pPr>
            <w:r w:rsidRPr="00F86D3B">
              <w:rPr>
                <w:color w:val="000000"/>
                <w:lang w:eastAsia="en-US"/>
              </w:rPr>
              <w:t>Le montant indiqué au point 4.4.5 correspond à la perte globale sous contrainte</w:t>
            </w:r>
            <w:r>
              <w:rPr>
                <w:color w:val="000000"/>
                <w:lang w:eastAsia="en-US"/>
              </w:rPr>
              <w:t xml:space="preserve"> </w:t>
            </w:r>
            <w:r w:rsidRPr="00F86D3B">
              <w:rPr>
                <w:color w:val="000000"/>
                <w:lang w:val="fr-FR" w:eastAsia="en-US"/>
              </w:rPr>
              <w:t>supérieure aux ressources réelles de défaut préfinancées (et supérieure à la marge initiale).</w:t>
            </w:r>
          </w:p>
          <w:p w14:paraId="748CA61A" w14:textId="77777777" w:rsidR="00BB54BE" w:rsidRPr="001C0132" w:rsidRDefault="00BB54BE" w:rsidP="006B76A4">
            <w:pPr>
              <w:spacing w:line="240" w:lineRule="auto"/>
              <w:ind w:left="391"/>
              <w:rPr>
                <w:rFonts w:ascii="Calibri" w:eastAsia="Times New Roman" w:hAnsi="Calibri" w:cs="Times New Roman"/>
                <w:lang w:val="fr-CA"/>
              </w:rPr>
            </w:pPr>
          </w:p>
          <w:p w14:paraId="52CD1FB7" w14:textId="393BF0D5" w:rsidR="00BB54BE" w:rsidRPr="001C0132" w:rsidRDefault="00BB54BE" w:rsidP="006B76A4">
            <w:pPr>
              <w:spacing w:line="240" w:lineRule="auto"/>
              <w:jc w:val="both"/>
              <w:rPr>
                <w:rFonts w:ascii="Calibri" w:eastAsia="Times New Roman" w:hAnsi="Calibri" w:cs="Times New Roman"/>
                <w:b/>
                <w:i/>
                <w:lang w:val="fr-CA"/>
              </w:rPr>
            </w:pPr>
            <w:r w:rsidRPr="001C0132">
              <w:rPr>
                <w:rFonts w:ascii="Calibri" w:eastAsia="Times New Roman" w:hAnsi="Calibri" w:cs="Times New Roman"/>
                <w:b/>
                <w:i/>
                <w:lang w:val="fr-CA"/>
              </w:rPr>
              <w:t xml:space="preserve">4.4.2. </w:t>
            </w:r>
            <w:bookmarkStart w:id="23" w:name="lt_pId033"/>
            <w:r w:rsidRPr="001C0132">
              <w:rPr>
                <w:rFonts w:ascii="Calibri" w:eastAsia="Times New Roman" w:hAnsi="Calibri" w:cs="Times New Roman"/>
                <w:b/>
                <w:i/>
                <w:lang w:val="fr-CA"/>
              </w:rPr>
              <w:t xml:space="preserve">Pour chaque service de compensation, indiquer le nombre de jours ouvrables durant lesquels la contrepartie centrale de compensation </w:t>
            </w:r>
            <w:r w:rsidR="00DD546E">
              <w:rPr>
                <w:rFonts w:ascii="Calibri" w:eastAsia="Times New Roman" w:hAnsi="Calibri" w:cs="Times New Roman"/>
                <w:b/>
                <w:i/>
                <w:lang w:val="fr-CA"/>
              </w:rPr>
              <w:t xml:space="preserve">entend </w:t>
            </w:r>
            <w:r w:rsidRPr="001C0132">
              <w:rPr>
                <w:rFonts w:ascii="Calibri" w:eastAsia="Times New Roman" w:hAnsi="Calibri" w:cs="Times New Roman"/>
                <w:b/>
                <w:i/>
                <w:lang w:val="fr-CA"/>
              </w:rPr>
              <w:t>dénouer la position défaillante lors du calcul des expositions au risque de crédit susceptibles de devoir être couvertes par le fonds de défaillance.</w:t>
            </w:r>
            <w:bookmarkEnd w:id="23"/>
          </w:p>
          <w:p w14:paraId="22469B74" w14:textId="77777777" w:rsidR="00BB54BE" w:rsidRPr="001C0132" w:rsidRDefault="00BB54BE" w:rsidP="006B76A4">
            <w:pPr>
              <w:spacing w:line="240" w:lineRule="auto"/>
              <w:jc w:val="both"/>
              <w:rPr>
                <w:rFonts w:ascii="Calibri" w:eastAsia="Times New Roman" w:hAnsi="Calibri" w:cs="Times New Roman"/>
                <w:b/>
                <w:i/>
                <w:lang w:val="fr-CA"/>
              </w:rPr>
            </w:pPr>
          </w:p>
          <w:p w14:paraId="0FCD5FEE" w14:textId="4F7AE83C" w:rsidR="00BB54BE" w:rsidRDefault="00BB54BE" w:rsidP="00C92937">
            <w:pPr>
              <w:spacing w:line="240" w:lineRule="auto"/>
              <w:jc w:val="both"/>
              <w:rPr>
                <w:rFonts w:ascii="Calibri" w:eastAsia="Times New Roman" w:hAnsi="Calibri" w:cs="Times New Roman"/>
                <w:color w:val="000000" w:themeColor="text1"/>
                <w:lang w:val="fr-CA"/>
              </w:rPr>
            </w:pPr>
            <w:bookmarkStart w:id="24" w:name="lt_pId034"/>
            <w:r w:rsidRPr="00476B08">
              <w:rPr>
                <w:rFonts w:ascii="Calibri" w:eastAsia="Times New Roman" w:hAnsi="Calibri" w:cs="Times New Roman"/>
                <w:color w:val="000000" w:themeColor="text1"/>
                <w:lang w:val="fr-CA"/>
              </w:rPr>
              <w:t>En cas de défaut, il est supposé que la CDCC dénouera les positions du défaillant dans les deux jours</w:t>
            </w:r>
            <w:r w:rsidRPr="001C0132">
              <w:rPr>
                <w:rFonts w:ascii="Calibri" w:eastAsia="Times New Roman" w:hAnsi="Calibri" w:cs="Times New Roman"/>
                <w:color w:val="000000" w:themeColor="text1"/>
                <w:lang w:val="fr-CA"/>
              </w:rPr>
              <w:t>.</w:t>
            </w:r>
            <w:bookmarkEnd w:id="24"/>
          </w:p>
          <w:p w14:paraId="54E5D94B" w14:textId="77777777" w:rsidR="0054608F" w:rsidRDefault="0054608F" w:rsidP="00C92937">
            <w:pPr>
              <w:spacing w:line="240" w:lineRule="auto"/>
              <w:jc w:val="both"/>
              <w:rPr>
                <w:rFonts w:ascii="Calibri" w:eastAsia="Times New Roman" w:hAnsi="Calibri" w:cs="Times New Roman"/>
                <w:color w:val="000000" w:themeColor="text1"/>
                <w:lang w:val="fr-CA"/>
              </w:rPr>
            </w:pPr>
          </w:p>
          <w:p w14:paraId="5A207C2F" w14:textId="25716EB4" w:rsidR="0054608F" w:rsidRPr="0054608F" w:rsidRDefault="0054608F" w:rsidP="0054608F">
            <w:pPr>
              <w:spacing w:line="240" w:lineRule="auto"/>
              <w:jc w:val="both"/>
              <w:rPr>
                <w:rFonts w:ascii="Calibri" w:eastAsia="Times New Roman" w:hAnsi="Calibri" w:cs="Times New Roman"/>
                <w:b/>
                <w:i/>
                <w:lang w:val="fr-CA"/>
              </w:rPr>
            </w:pPr>
            <w:r w:rsidRPr="0054608F">
              <w:rPr>
                <w:rFonts w:ascii="Calibri" w:eastAsia="Times New Roman" w:hAnsi="Calibri" w:cs="Times New Roman"/>
                <w:b/>
                <w:i/>
                <w:lang w:val="fr-CA"/>
              </w:rPr>
              <w:t xml:space="preserve">4.4.4. Indiquer le nombre de jours ouvrables, le cas échéant, </w:t>
            </w:r>
            <w:r>
              <w:rPr>
                <w:rFonts w:ascii="Calibri" w:eastAsia="Times New Roman" w:hAnsi="Calibri" w:cs="Times New Roman"/>
                <w:b/>
                <w:i/>
                <w:lang w:val="fr-CA"/>
              </w:rPr>
              <w:t>où le</w:t>
            </w:r>
            <w:r w:rsidRPr="0054608F">
              <w:rPr>
                <w:rFonts w:ascii="Calibri" w:eastAsia="Times New Roman" w:hAnsi="Calibri" w:cs="Times New Roman"/>
                <w:b/>
                <w:i/>
                <w:lang w:val="fr-CA"/>
              </w:rPr>
              <w:t xml:space="preserve"> montant </w:t>
            </w:r>
            <w:r>
              <w:rPr>
                <w:rFonts w:ascii="Calibri" w:eastAsia="Times New Roman" w:hAnsi="Calibri" w:cs="Times New Roman"/>
                <w:b/>
                <w:i/>
                <w:lang w:val="fr-CA"/>
              </w:rPr>
              <w:t>indiqué en</w:t>
            </w:r>
            <w:r w:rsidRPr="0054608F">
              <w:rPr>
                <w:rFonts w:ascii="Calibri" w:eastAsia="Times New Roman" w:hAnsi="Calibri" w:cs="Times New Roman"/>
                <w:b/>
                <w:i/>
                <w:lang w:val="fr-CA"/>
              </w:rPr>
              <w:t xml:space="preserve"> (4.4.3) a dépassé les ressources </w:t>
            </w:r>
            <w:r w:rsidR="00EF7F96">
              <w:rPr>
                <w:rFonts w:ascii="Calibri" w:eastAsia="Times New Roman" w:hAnsi="Calibri" w:cs="Times New Roman"/>
                <w:b/>
                <w:i/>
                <w:lang w:val="fr-CA"/>
              </w:rPr>
              <w:t>de défaut</w:t>
            </w:r>
            <w:r w:rsidRPr="0054608F">
              <w:rPr>
                <w:rFonts w:ascii="Calibri" w:eastAsia="Times New Roman" w:hAnsi="Calibri" w:cs="Times New Roman"/>
                <w:b/>
                <w:i/>
                <w:lang w:val="fr-CA"/>
              </w:rPr>
              <w:t xml:space="preserve"> préfinancées (supérieures à la marge initiale).</w:t>
            </w:r>
          </w:p>
          <w:p w14:paraId="2B4908BE" w14:textId="77777777" w:rsidR="0054608F" w:rsidRPr="0054608F" w:rsidRDefault="0054608F" w:rsidP="005460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inherit" w:eastAsia="Times New Roman" w:hAnsi="inherit" w:cs="Courier New"/>
                <w:color w:val="212121"/>
                <w:sz w:val="20"/>
                <w:szCs w:val="20"/>
                <w:lang w:val="fr-FR"/>
              </w:rPr>
            </w:pPr>
          </w:p>
          <w:p w14:paraId="0BB0C723" w14:textId="719480F7" w:rsidR="0054608F" w:rsidRDefault="004B67D8" w:rsidP="0054499D">
            <w:pPr>
              <w:spacing w:line="240" w:lineRule="auto"/>
              <w:jc w:val="both"/>
              <w:rPr>
                <w:rFonts w:ascii="Calibri" w:eastAsia="Times New Roman" w:hAnsi="Calibri" w:cs="Times New Roman"/>
                <w:color w:val="000000" w:themeColor="text1"/>
                <w:lang w:val="fr-CA"/>
              </w:rPr>
            </w:pPr>
            <w:r>
              <w:rPr>
                <w:rFonts w:ascii="Calibri" w:eastAsia="Times New Roman" w:hAnsi="Calibri" w:cs="Times New Roman"/>
                <w:color w:val="000000" w:themeColor="text1"/>
                <w:lang w:val="fr-CA"/>
              </w:rPr>
              <w:t>La CDCC tient compte de la</w:t>
            </w:r>
            <w:r w:rsidR="0054608F" w:rsidRPr="0054608F">
              <w:rPr>
                <w:rFonts w:ascii="Calibri" w:eastAsia="Times New Roman" w:hAnsi="Calibri" w:cs="Times New Roman"/>
                <w:color w:val="000000" w:themeColor="text1"/>
                <w:lang w:val="fr-CA"/>
              </w:rPr>
              <w:t xml:space="preserve"> </w:t>
            </w:r>
            <w:r>
              <w:rPr>
                <w:rFonts w:ascii="Calibri" w:eastAsia="Times New Roman" w:hAnsi="Calibri" w:cs="Times New Roman"/>
                <w:color w:val="000000" w:themeColor="text1"/>
                <w:lang w:val="fr-CA"/>
              </w:rPr>
              <w:t>m</w:t>
            </w:r>
            <w:r w:rsidRPr="004B67D8">
              <w:rPr>
                <w:rFonts w:ascii="Calibri" w:eastAsia="Times New Roman" w:hAnsi="Calibri" w:cs="Times New Roman"/>
                <w:color w:val="000000" w:themeColor="text1"/>
                <w:lang w:val="fr-CA"/>
              </w:rPr>
              <w:t>arge supplémentaire pour le risque de corrélation défavorable spécifique</w:t>
            </w:r>
            <w:r>
              <w:rPr>
                <w:rFonts w:ascii="Calibri" w:eastAsia="Times New Roman" w:hAnsi="Calibri" w:cs="Times New Roman"/>
                <w:color w:val="000000" w:themeColor="text1"/>
                <w:lang w:val="fr-CA"/>
              </w:rPr>
              <w:t xml:space="preserve"> ainsi que de la m</w:t>
            </w:r>
            <w:r w:rsidRPr="004B67D8">
              <w:rPr>
                <w:rFonts w:ascii="Calibri" w:eastAsia="Times New Roman" w:hAnsi="Calibri" w:cs="Times New Roman"/>
                <w:color w:val="000000" w:themeColor="text1"/>
                <w:lang w:val="fr-CA"/>
              </w:rPr>
              <w:t>arge de capitalisation supplémentaire</w:t>
            </w:r>
            <w:r>
              <w:rPr>
                <w:rFonts w:ascii="Calibri" w:eastAsia="Times New Roman" w:hAnsi="Calibri" w:cs="Times New Roman"/>
                <w:color w:val="000000" w:themeColor="text1"/>
                <w:lang w:val="fr-CA"/>
              </w:rPr>
              <w:t xml:space="preserve"> </w:t>
            </w:r>
            <w:r w:rsidR="0054608F" w:rsidRPr="0054608F">
              <w:rPr>
                <w:rFonts w:ascii="Calibri" w:eastAsia="Times New Roman" w:hAnsi="Calibri" w:cs="Times New Roman"/>
                <w:color w:val="000000" w:themeColor="text1"/>
                <w:lang w:val="fr-CA"/>
              </w:rPr>
              <w:t xml:space="preserve">pour déterminer si la perte </w:t>
            </w:r>
            <w:r w:rsidR="0054499D">
              <w:rPr>
                <w:rFonts w:ascii="Calibri" w:eastAsia="Times New Roman" w:hAnsi="Calibri" w:cs="Times New Roman"/>
                <w:color w:val="000000" w:themeColor="text1"/>
                <w:lang w:val="fr-CA"/>
              </w:rPr>
              <w:t>globale sous contrainte</w:t>
            </w:r>
            <w:r w:rsidR="0054608F" w:rsidRPr="0054608F">
              <w:rPr>
                <w:rFonts w:ascii="Calibri" w:eastAsia="Times New Roman" w:hAnsi="Calibri" w:cs="Times New Roman"/>
                <w:color w:val="000000" w:themeColor="text1"/>
                <w:lang w:val="fr-CA"/>
              </w:rPr>
              <w:t xml:space="preserve"> a dépassé les ressources </w:t>
            </w:r>
            <w:r w:rsidR="0054499D">
              <w:rPr>
                <w:rFonts w:ascii="Calibri" w:eastAsia="Times New Roman" w:hAnsi="Calibri" w:cs="Times New Roman"/>
                <w:color w:val="000000" w:themeColor="text1"/>
                <w:lang w:val="fr-CA"/>
              </w:rPr>
              <w:t>de</w:t>
            </w:r>
            <w:r w:rsidR="0054608F" w:rsidRPr="0054608F">
              <w:rPr>
                <w:rFonts w:ascii="Calibri" w:eastAsia="Times New Roman" w:hAnsi="Calibri" w:cs="Times New Roman"/>
                <w:color w:val="000000" w:themeColor="text1"/>
                <w:lang w:val="fr-CA"/>
              </w:rPr>
              <w:t xml:space="preserve"> défaut préfinancées.</w:t>
            </w:r>
          </w:p>
          <w:p w14:paraId="09C6812B" w14:textId="1911BE9E" w:rsidR="00EF7F96" w:rsidRPr="0054608F" w:rsidRDefault="00EF7F96" w:rsidP="0054499D">
            <w:pPr>
              <w:spacing w:line="240" w:lineRule="auto"/>
              <w:jc w:val="both"/>
              <w:rPr>
                <w:rFonts w:ascii="inherit" w:eastAsia="Times New Roman" w:hAnsi="inherit" w:cs="Courier New"/>
                <w:color w:val="212121"/>
                <w:sz w:val="20"/>
                <w:szCs w:val="20"/>
                <w:lang w:val="fr-CA"/>
              </w:rPr>
            </w:pPr>
          </w:p>
        </w:tc>
      </w:tr>
      <w:tr w:rsidR="00BB54BE" w:rsidRPr="00FF5E27" w14:paraId="60602290" w14:textId="77777777" w:rsidTr="006B76A4">
        <w:trPr>
          <w:trHeight w:val="1160"/>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418FCB45"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lastRenderedPageBreak/>
              <w:t>5</w:t>
            </w:r>
          </w:p>
        </w:tc>
        <w:tc>
          <w:tcPr>
            <w:tcW w:w="7767" w:type="dxa"/>
            <w:tcBorders>
              <w:top w:val="single" w:sz="4" w:space="0" w:color="auto"/>
              <w:left w:val="single" w:sz="4" w:space="0" w:color="auto"/>
              <w:bottom w:val="single" w:sz="4" w:space="0" w:color="auto"/>
              <w:right w:val="single" w:sz="4" w:space="0" w:color="auto"/>
            </w:tcBorders>
            <w:vAlign w:val="center"/>
          </w:tcPr>
          <w:p w14:paraId="4475FFF1" w14:textId="77777777" w:rsidR="00BB54BE" w:rsidRPr="001C0132" w:rsidRDefault="00BB54BE" w:rsidP="006B76A4">
            <w:pPr>
              <w:spacing w:line="240" w:lineRule="auto"/>
              <w:rPr>
                <w:rFonts w:ascii="Calibri" w:eastAsia="Times New Roman" w:hAnsi="Calibri" w:cs="Times New Roman"/>
                <w:color w:val="000000"/>
                <w:lang w:val="fr-CA"/>
              </w:rPr>
            </w:pPr>
          </w:p>
          <w:p w14:paraId="7DE88D46" w14:textId="7B709F81" w:rsidR="00BB54BE" w:rsidRPr="001C0132" w:rsidRDefault="00BB54BE" w:rsidP="006B76A4">
            <w:pPr>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5.3.2. </w:t>
            </w:r>
            <w:bookmarkStart w:id="25" w:name="lt_pId038"/>
            <w:r w:rsidRPr="001C0132">
              <w:rPr>
                <w:rFonts w:ascii="Calibri" w:eastAsia="Times New Roman" w:hAnsi="Calibri" w:cs="Times New Roman"/>
                <w:b/>
                <w:i/>
                <w:color w:val="000000"/>
                <w:lang w:val="fr-CA"/>
              </w:rPr>
              <w:t xml:space="preserve">Période de </w:t>
            </w:r>
            <w:r w:rsidR="0096778A">
              <w:rPr>
                <w:rFonts w:ascii="Calibri" w:eastAsia="Times New Roman" w:hAnsi="Calibri" w:cs="Times New Roman"/>
                <w:b/>
                <w:i/>
                <w:color w:val="000000"/>
                <w:lang w:val="fr-CA"/>
              </w:rPr>
              <w:t>détention</w:t>
            </w:r>
            <w:r w:rsidR="0096778A" w:rsidRPr="001C0132">
              <w:rPr>
                <w:rFonts w:ascii="Calibri" w:eastAsia="Times New Roman" w:hAnsi="Calibri" w:cs="Times New Roman"/>
                <w:b/>
                <w:i/>
                <w:color w:val="000000"/>
                <w:lang w:val="fr-CA"/>
              </w:rPr>
              <w:t xml:space="preserve"> </w:t>
            </w:r>
            <w:r w:rsidRPr="001C0132">
              <w:rPr>
                <w:rFonts w:ascii="Calibri" w:eastAsia="Times New Roman" w:hAnsi="Calibri" w:cs="Times New Roman"/>
                <w:b/>
                <w:i/>
                <w:color w:val="000000"/>
                <w:lang w:val="fr-CA"/>
              </w:rPr>
              <w:t xml:space="preserve">et de liquidation présumée pour les actifs </w:t>
            </w:r>
            <w:bookmarkEnd w:id="25"/>
            <w:r w:rsidRPr="001C0132">
              <w:rPr>
                <w:rFonts w:ascii="Calibri" w:eastAsia="Times New Roman" w:hAnsi="Calibri" w:cs="Times New Roman"/>
                <w:b/>
                <w:i/>
                <w:color w:val="000000"/>
                <w:lang w:val="fr-CA"/>
              </w:rPr>
              <w:t>acceptés</w:t>
            </w:r>
          </w:p>
          <w:p w14:paraId="5D80B6A1" w14:textId="77777777" w:rsidR="00BB54BE" w:rsidRPr="001C0132" w:rsidRDefault="00BB54BE" w:rsidP="006B76A4">
            <w:pPr>
              <w:spacing w:line="240" w:lineRule="auto"/>
              <w:rPr>
                <w:rFonts w:ascii="Calibri" w:eastAsia="Times New Roman" w:hAnsi="Calibri" w:cs="Times New Roman"/>
                <w:b/>
                <w:i/>
                <w:color w:val="000000"/>
                <w:lang w:val="fr-CA"/>
              </w:rPr>
            </w:pPr>
          </w:p>
          <w:p w14:paraId="2DEB369A" w14:textId="1F4D8F4B" w:rsidR="00BB54BE" w:rsidRPr="0096778A" w:rsidRDefault="00D77F04" w:rsidP="006B76A4">
            <w:pPr>
              <w:spacing w:line="240" w:lineRule="auto"/>
              <w:rPr>
                <w:rFonts w:ascii="Calibri" w:eastAsia="Times New Roman" w:hAnsi="Calibri" w:cs="Times New Roman"/>
                <w:color w:val="FF0000"/>
                <w:lang w:val="fr-CA"/>
              </w:rPr>
            </w:pPr>
            <w:bookmarkStart w:id="26" w:name="lt_pId039"/>
            <w:r>
              <w:rPr>
                <w:rFonts w:ascii="Calibri" w:eastAsia="Times New Roman" w:hAnsi="Calibri" w:cs="Times New Roman"/>
                <w:color w:val="000000"/>
                <w:lang w:val="fr-CA"/>
              </w:rPr>
              <w:t>Période de liquidation pour tous les</w:t>
            </w:r>
            <w:r w:rsidR="00BB54BE" w:rsidRPr="0096778A">
              <w:rPr>
                <w:rFonts w:ascii="Calibri" w:eastAsia="Times New Roman" w:hAnsi="Calibri" w:cs="Times New Roman"/>
                <w:color w:val="000000"/>
                <w:lang w:val="fr-CA"/>
              </w:rPr>
              <w:t xml:space="preserve"> </w:t>
            </w:r>
            <w:r w:rsidR="00452DED">
              <w:rPr>
                <w:rFonts w:ascii="Calibri" w:eastAsia="Times New Roman" w:hAnsi="Calibri" w:cs="Times New Roman"/>
                <w:color w:val="000000"/>
                <w:lang w:val="fr-CA"/>
              </w:rPr>
              <w:t>actifs</w:t>
            </w:r>
            <w:r w:rsidR="00BB54BE" w:rsidRPr="0096778A">
              <w:rPr>
                <w:rFonts w:ascii="Calibri" w:eastAsia="Times New Roman" w:hAnsi="Calibri" w:cs="Times New Roman"/>
                <w:color w:val="000000"/>
                <w:lang w:val="fr-CA"/>
              </w:rPr>
              <w:t> :</w:t>
            </w:r>
            <w:bookmarkEnd w:id="26"/>
            <w:r w:rsidR="00BB54BE" w:rsidRPr="00D77F04">
              <w:rPr>
                <w:rFonts w:ascii="Calibri" w:eastAsia="Times New Roman" w:hAnsi="Calibri" w:cs="Times New Roman"/>
                <w:color w:val="000000"/>
                <w:szCs w:val="24"/>
                <w:lang w:val="fr-CA"/>
              </w:rPr>
              <w:t xml:space="preserve"> </w:t>
            </w:r>
            <w:r w:rsidRPr="00D77F04">
              <w:rPr>
                <w:rFonts w:ascii="Calibri" w:eastAsia="Times New Roman" w:hAnsi="Calibri" w:cs="Times New Roman"/>
                <w:color w:val="000000"/>
                <w:szCs w:val="24"/>
                <w:lang w:val="fr-CA"/>
              </w:rPr>
              <w:t>2 jours</w:t>
            </w:r>
          </w:p>
          <w:p w14:paraId="7BEFE6D9" w14:textId="77777777" w:rsidR="00BB54BE" w:rsidRPr="00452DED" w:rsidRDefault="00BB54BE" w:rsidP="00D77F04">
            <w:pPr>
              <w:rPr>
                <w:color w:val="000000"/>
                <w:lang w:val="fr-CA"/>
              </w:rPr>
            </w:pPr>
          </w:p>
          <w:p w14:paraId="3D77FD3B" w14:textId="77777777" w:rsidR="00BB54BE" w:rsidRPr="001C0132" w:rsidRDefault="00BB54BE" w:rsidP="006B76A4">
            <w:pPr>
              <w:pStyle w:val="ListParagraph"/>
              <w:spacing w:line="276" w:lineRule="auto"/>
              <w:ind w:left="0"/>
              <w:rPr>
                <w:b/>
                <w:i/>
                <w:lang w:eastAsia="en-US"/>
              </w:rPr>
            </w:pPr>
            <w:r w:rsidRPr="001C0132">
              <w:rPr>
                <w:b/>
                <w:i/>
                <w:color w:val="000000"/>
                <w:lang w:eastAsia="en-US"/>
              </w:rPr>
              <w:t>5.3.4.</w:t>
            </w:r>
            <w:r w:rsidRPr="001C0132">
              <w:rPr>
                <w:b/>
                <w:i/>
                <w:lang w:eastAsia="en-US"/>
              </w:rPr>
              <w:t xml:space="preserve"> Résultats des essais de décotes</w:t>
            </w:r>
          </w:p>
          <w:p w14:paraId="3F3A9793" w14:textId="77777777" w:rsidR="00BB54BE" w:rsidRPr="001C0132" w:rsidRDefault="00BB54BE" w:rsidP="006B76A4">
            <w:pPr>
              <w:pStyle w:val="ListParagraph"/>
              <w:spacing w:line="276" w:lineRule="auto"/>
              <w:ind w:left="0"/>
              <w:rPr>
                <w:lang w:eastAsia="en-US"/>
              </w:rPr>
            </w:pPr>
          </w:p>
          <w:p w14:paraId="45D5C5C2" w14:textId="2FEE131D" w:rsidR="00BB54BE" w:rsidRPr="00E16889" w:rsidRDefault="00BB54BE" w:rsidP="006B76A4">
            <w:pPr>
              <w:pStyle w:val="ListParagraph"/>
              <w:spacing w:line="276" w:lineRule="auto"/>
              <w:ind w:left="0"/>
              <w:jc w:val="both"/>
              <w:rPr>
                <w:color w:val="000000"/>
                <w:lang w:eastAsia="en-US"/>
              </w:rPr>
            </w:pPr>
            <w:bookmarkStart w:id="27" w:name="lt_pId047"/>
            <w:r w:rsidRPr="00E16889">
              <w:rPr>
                <w:lang w:eastAsia="en-US"/>
              </w:rPr>
              <w:t xml:space="preserve">Le nombre de jours correspond au </w:t>
            </w:r>
            <w:r w:rsidRPr="00E16889">
              <w:rPr>
                <w:u w:val="single"/>
                <w:lang w:eastAsia="en-US"/>
              </w:rPr>
              <w:t xml:space="preserve">nombre moyen </w:t>
            </w:r>
            <w:r w:rsidR="00DD546E" w:rsidRPr="00E16889">
              <w:rPr>
                <w:u w:val="single"/>
                <w:lang w:eastAsia="en-US"/>
              </w:rPr>
              <w:t>d’</w:t>
            </w:r>
            <w:r w:rsidRPr="00E16889">
              <w:rPr>
                <w:u w:val="single"/>
                <w:lang w:eastAsia="en-US"/>
              </w:rPr>
              <w:t>échecs par actif</w:t>
            </w:r>
            <w:r w:rsidRPr="00E16889">
              <w:rPr>
                <w:lang w:eastAsia="en-US"/>
              </w:rPr>
              <w:t xml:space="preserve"> au cours de la période considérée.</w:t>
            </w:r>
            <w:bookmarkEnd w:id="27"/>
            <w:r w:rsidRPr="00E16889">
              <w:rPr>
                <w:lang w:eastAsia="en-US"/>
              </w:rPr>
              <w:t xml:space="preserve"> </w:t>
            </w:r>
            <w:bookmarkStart w:id="28" w:name="lt_pId048"/>
            <w:r w:rsidRPr="00E16889">
              <w:rPr>
                <w:color w:val="000000"/>
                <w:lang w:eastAsia="en-US"/>
              </w:rPr>
              <w:t xml:space="preserve">À titre d’information complémentaire, les résultats des contrôles </w:t>
            </w:r>
            <w:r w:rsidR="00DD546E" w:rsidRPr="00E16889">
              <w:rPr>
                <w:color w:val="000000"/>
                <w:lang w:eastAsia="en-US"/>
              </w:rPr>
              <w:t>ex post</w:t>
            </w:r>
            <w:r w:rsidRPr="00E16889">
              <w:rPr>
                <w:color w:val="000000"/>
                <w:lang w:eastAsia="en-US"/>
              </w:rPr>
              <w:t xml:space="preserve"> des décotes ont été inclus au niveau de l’actif :</w:t>
            </w:r>
            <w:bookmarkEnd w:id="28"/>
          </w:p>
          <w:p w14:paraId="351077C6" w14:textId="35076C4C" w:rsidR="00BB54BE" w:rsidRPr="00E16889" w:rsidRDefault="0051564D" w:rsidP="00BB54BE">
            <w:pPr>
              <w:pStyle w:val="ListParagraph"/>
              <w:numPr>
                <w:ilvl w:val="0"/>
                <w:numId w:val="29"/>
              </w:numPr>
              <w:spacing w:line="276" w:lineRule="auto"/>
              <w:contextualSpacing/>
              <w:jc w:val="both"/>
              <w:rPr>
                <w:color w:val="000000"/>
                <w:lang w:eastAsia="en-US"/>
              </w:rPr>
            </w:pPr>
            <w:bookmarkStart w:id="29" w:name="lt_pId049"/>
            <w:r>
              <w:rPr>
                <w:color w:val="000000"/>
                <w:lang w:eastAsia="en-US"/>
              </w:rPr>
              <w:t>2</w:t>
            </w:r>
            <w:r w:rsidR="00FF5E27">
              <w:rPr>
                <w:color w:val="000000"/>
                <w:lang w:eastAsia="en-US"/>
              </w:rPr>
              <w:t>69</w:t>
            </w:r>
            <w:r w:rsidR="00BB54BE" w:rsidRPr="00E16889">
              <w:rPr>
                <w:color w:val="000000"/>
                <w:lang w:eastAsia="en-US"/>
              </w:rPr>
              <w:t xml:space="preserve"> échecs sur </w:t>
            </w:r>
            <w:r w:rsidR="00E87701">
              <w:rPr>
                <w:color w:val="000000"/>
                <w:lang w:eastAsia="en-US"/>
              </w:rPr>
              <w:t>2</w:t>
            </w:r>
            <w:r>
              <w:rPr>
                <w:color w:val="000000"/>
                <w:lang w:eastAsia="en-US"/>
              </w:rPr>
              <w:t>49,371</w:t>
            </w:r>
            <w:r w:rsidR="009A70F8" w:rsidRPr="00E16889">
              <w:rPr>
                <w:color w:val="000000"/>
                <w:lang w:eastAsia="en-US"/>
              </w:rPr>
              <w:t xml:space="preserve"> </w:t>
            </w:r>
            <w:r w:rsidR="00BB54BE" w:rsidRPr="00E16889">
              <w:rPr>
                <w:color w:val="000000"/>
                <w:lang w:eastAsia="en-US"/>
              </w:rPr>
              <w:t>essais</w:t>
            </w:r>
            <w:r w:rsidR="00F40A52" w:rsidRPr="00E16889">
              <w:rPr>
                <w:color w:val="000000"/>
                <w:lang w:eastAsia="en-US"/>
              </w:rPr>
              <w:t xml:space="preserve"> pour les obligations</w:t>
            </w:r>
            <w:r w:rsidR="00BB54BE" w:rsidRPr="00E16889">
              <w:rPr>
                <w:color w:val="000000"/>
                <w:lang w:eastAsia="en-US"/>
              </w:rPr>
              <w:t>, ce qui correspond à un tau</w:t>
            </w:r>
            <w:r w:rsidR="007C16CF" w:rsidRPr="00E16889">
              <w:rPr>
                <w:color w:val="000000"/>
                <w:lang w:eastAsia="en-US"/>
              </w:rPr>
              <w:t xml:space="preserve">x </w:t>
            </w:r>
            <w:r w:rsidR="00107127" w:rsidRPr="00E16889">
              <w:rPr>
                <w:color w:val="000000"/>
                <w:lang w:eastAsia="en-US"/>
              </w:rPr>
              <w:t>de couverture atteint de 99,</w:t>
            </w:r>
            <w:r w:rsidR="00FF5E27">
              <w:rPr>
                <w:color w:val="000000"/>
                <w:lang w:eastAsia="en-US"/>
              </w:rPr>
              <w:t>89</w:t>
            </w:r>
            <w:r w:rsidR="00BB54BE" w:rsidRPr="00E16889">
              <w:rPr>
                <w:color w:val="000000"/>
                <w:lang w:eastAsia="en-US"/>
              </w:rPr>
              <w:t> %</w:t>
            </w:r>
            <w:bookmarkEnd w:id="29"/>
            <w:r w:rsidR="00755527" w:rsidRPr="00E16889">
              <w:rPr>
                <w:color w:val="000000"/>
                <w:lang w:eastAsia="en-US"/>
              </w:rPr>
              <w:t>.</w:t>
            </w:r>
          </w:p>
          <w:p w14:paraId="4E54B240" w14:textId="2F9E95A9" w:rsidR="00BB54BE" w:rsidRPr="00E16889" w:rsidRDefault="0051564D" w:rsidP="007C16CF">
            <w:pPr>
              <w:pStyle w:val="ListParagraph"/>
              <w:numPr>
                <w:ilvl w:val="0"/>
                <w:numId w:val="29"/>
              </w:numPr>
              <w:spacing w:line="276" w:lineRule="auto"/>
              <w:contextualSpacing/>
              <w:jc w:val="both"/>
              <w:rPr>
                <w:color w:val="000000"/>
                <w:lang w:eastAsia="en-US"/>
              </w:rPr>
            </w:pPr>
            <w:bookmarkStart w:id="30" w:name="lt_pId050"/>
            <w:r>
              <w:rPr>
                <w:color w:val="000000"/>
                <w:lang w:eastAsia="en-US"/>
              </w:rPr>
              <w:t>0</w:t>
            </w:r>
            <w:r w:rsidR="00755527" w:rsidRPr="00E16889">
              <w:rPr>
                <w:color w:val="000000"/>
                <w:lang w:eastAsia="en-US"/>
              </w:rPr>
              <w:t xml:space="preserve"> échec</w:t>
            </w:r>
            <w:r w:rsidR="00B814EB" w:rsidRPr="00E16889">
              <w:rPr>
                <w:color w:val="000000"/>
                <w:lang w:eastAsia="en-US"/>
              </w:rPr>
              <w:t>s</w:t>
            </w:r>
            <w:r w:rsidR="00BB54BE" w:rsidRPr="00E16889">
              <w:rPr>
                <w:color w:val="000000"/>
                <w:lang w:eastAsia="en-US"/>
              </w:rPr>
              <w:t xml:space="preserve"> sur </w:t>
            </w:r>
            <w:r w:rsidR="00E87701">
              <w:rPr>
                <w:color w:val="000000"/>
                <w:lang w:eastAsia="en-US"/>
              </w:rPr>
              <w:t>7</w:t>
            </w:r>
            <w:r w:rsidR="00FF5E27">
              <w:rPr>
                <w:color w:val="000000"/>
                <w:lang w:eastAsia="en-US"/>
              </w:rPr>
              <w:t>7</w:t>
            </w:r>
            <w:r>
              <w:rPr>
                <w:color w:val="000000"/>
                <w:lang w:eastAsia="en-US"/>
              </w:rPr>
              <w:t>,</w:t>
            </w:r>
            <w:r w:rsidR="00FF5E27">
              <w:rPr>
                <w:color w:val="000000"/>
                <w:lang w:eastAsia="en-US"/>
              </w:rPr>
              <w:t>140</w:t>
            </w:r>
            <w:r w:rsidR="00B814EB" w:rsidRPr="00E16889">
              <w:rPr>
                <w:color w:val="000000"/>
                <w:lang w:eastAsia="en-US"/>
              </w:rPr>
              <w:t xml:space="preserve"> </w:t>
            </w:r>
            <w:r w:rsidR="00BB54BE" w:rsidRPr="00E16889">
              <w:rPr>
                <w:color w:val="000000"/>
                <w:lang w:eastAsia="en-US"/>
              </w:rPr>
              <w:t xml:space="preserve">essais pour les titres de participation, ce qui correspond </w:t>
            </w:r>
            <w:r w:rsidR="00F40A52" w:rsidRPr="00E16889">
              <w:rPr>
                <w:color w:val="000000"/>
                <w:lang w:eastAsia="en-US"/>
              </w:rPr>
              <w:t xml:space="preserve">à </w:t>
            </w:r>
            <w:r w:rsidR="00BB54BE" w:rsidRPr="00E16889">
              <w:rPr>
                <w:color w:val="000000"/>
                <w:lang w:eastAsia="en-US"/>
              </w:rPr>
              <w:t>un tau</w:t>
            </w:r>
            <w:r w:rsidR="008F7D36" w:rsidRPr="00E16889">
              <w:rPr>
                <w:color w:val="000000"/>
                <w:lang w:eastAsia="en-US"/>
              </w:rPr>
              <w:t>x de couverture atteint de 100.00</w:t>
            </w:r>
            <w:r w:rsidR="0045460B" w:rsidRPr="00E16889">
              <w:rPr>
                <w:color w:val="000000"/>
                <w:lang w:eastAsia="en-US"/>
              </w:rPr>
              <w:t xml:space="preserve"> %</w:t>
            </w:r>
            <w:bookmarkEnd w:id="30"/>
            <w:r w:rsidR="00755527" w:rsidRPr="00E16889">
              <w:rPr>
                <w:color w:val="000000"/>
                <w:lang w:eastAsia="en-US"/>
              </w:rPr>
              <w:t>.</w:t>
            </w:r>
          </w:p>
          <w:p w14:paraId="53CFA7AB" w14:textId="67107F3B" w:rsidR="007C16CF" w:rsidRPr="001C0132" w:rsidRDefault="007C16CF" w:rsidP="007C16CF">
            <w:pPr>
              <w:pStyle w:val="ListParagraph"/>
              <w:spacing w:line="276" w:lineRule="auto"/>
              <w:ind w:left="360"/>
              <w:contextualSpacing/>
              <w:jc w:val="both"/>
              <w:rPr>
                <w:color w:val="000000"/>
                <w:lang w:eastAsia="en-US"/>
              </w:rPr>
            </w:pPr>
          </w:p>
        </w:tc>
      </w:tr>
      <w:tr w:rsidR="00BB54BE" w:rsidRPr="00FF5E27" w14:paraId="23DC2511" w14:textId="77777777" w:rsidTr="006B76A4">
        <w:trPr>
          <w:trHeight w:val="709"/>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631AC72D"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lastRenderedPageBreak/>
              <w:t>6</w:t>
            </w:r>
          </w:p>
        </w:tc>
        <w:tc>
          <w:tcPr>
            <w:tcW w:w="7767" w:type="dxa"/>
            <w:tcBorders>
              <w:top w:val="single" w:sz="4" w:space="0" w:color="auto"/>
              <w:left w:val="single" w:sz="4" w:space="0" w:color="auto"/>
              <w:bottom w:val="single" w:sz="4" w:space="0" w:color="auto"/>
              <w:right w:val="single" w:sz="4" w:space="0" w:color="auto"/>
            </w:tcBorders>
            <w:vAlign w:val="center"/>
          </w:tcPr>
          <w:p w14:paraId="1557F386" w14:textId="77777777" w:rsidR="00BB54BE" w:rsidRPr="001C0132" w:rsidRDefault="00BB54BE" w:rsidP="006B76A4">
            <w:pPr>
              <w:spacing w:line="240" w:lineRule="auto"/>
              <w:rPr>
                <w:rFonts w:ascii="Calibri" w:eastAsia="Times New Roman" w:hAnsi="Calibri" w:cs="Times New Roman"/>
                <w:color w:val="000000"/>
                <w:lang w:val="fr-CA"/>
              </w:rPr>
            </w:pPr>
          </w:p>
          <w:p w14:paraId="6A261DEA" w14:textId="76112DF9" w:rsidR="00BB54BE" w:rsidRPr="001C0132" w:rsidRDefault="00BB54BE"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6.1. </w:t>
            </w:r>
            <w:bookmarkStart w:id="31" w:name="lt_pId053"/>
            <w:r w:rsidRPr="001C0132">
              <w:rPr>
                <w:rFonts w:ascii="Calibri" w:eastAsia="Times New Roman" w:hAnsi="Calibri" w:cs="Times New Roman"/>
                <w:b/>
                <w:i/>
                <w:color w:val="000000"/>
                <w:lang w:val="fr-CA"/>
              </w:rPr>
              <w:t xml:space="preserve">Marge initiale totale requise répartie par compte maison, </w:t>
            </w:r>
            <w:r w:rsidR="00BA1FDC" w:rsidRPr="006D6075">
              <w:rPr>
                <w:rFonts w:ascii="Calibri" w:eastAsia="Times New Roman" w:hAnsi="Calibri" w:cs="Times New Roman"/>
                <w:b/>
                <w:i/>
                <w:color w:val="000000"/>
                <w:lang w:val="fr-CA"/>
              </w:rPr>
              <w:t>client MBC</w:t>
            </w:r>
            <w:r w:rsidRPr="006D6075">
              <w:rPr>
                <w:rFonts w:ascii="Calibri" w:eastAsia="Times New Roman" w:hAnsi="Calibri" w:cs="Times New Roman"/>
                <w:b/>
                <w:i/>
                <w:color w:val="000000"/>
                <w:lang w:val="fr-CA"/>
              </w:rPr>
              <w:t xml:space="preserve">, </w:t>
            </w:r>
            <w:r w:rsidR="00BA1FDC" w:rsidRPr="006D6075">
              <w:rPr>
                <w:rFonts w:ascii="Calibri" w:eastAsia="Times New Roman" w:hAnsi="Calibri" w:cs="Times New Roman"/>
                <w:b/>
                <w:i/>
                <w:color w:val="000000"/>
                <w:lang w:val="fr-CA"/>
              </w:rPr>
              <w:t>client non-MBC</w:t>
            </w:r>
            <w:r w:rsidRPr="001C0132">
              <w:rPr>
                <w:rFonts w:ascii="Calibri" w:eastAsia="Times New Roman" w:hAnsi="Calibri" w:cs="Times New Roman"/>
                <w:b/>
                <w:i/>
                <w:color w:val="000000"/>
                <w:lang w:val="fr-CA"/>
              </w:rPr>
              <w:t xml:space="preserve"> et total</w:t>
            </w:r>
            <w:bookmarkEnd w:id="31"/>
            <w:r w:rsidRPr="001C0132">
              <w:rPr>
                <w:rFonts w:ascii="Calibri" w:eastAsia="Times New Roman" w:hAnsi="Calibri" w:cs="Times New Roman"/>
                <w:b/>
                <w:i/>
                <w:color w:val="000000"/>
                <w:lang w:val="fr-CA"/>
              </w:rPr>
              <w:t xml:space="preserve"> </w:t>
            </w:r>
          </w:p>
          <w:p w14:paraId="535689BA" w14:textId="77777777" w:rsidR="00BB54BE" w:rsidRPr="001C0132" w:rsidRDefault="00BB54BE" w:rsidP="006B76A4">
            <w:pPr>
              <w:spacing w:line="240" w:lineRule="auto"/>
              <w:rPr>
                <w:rFonts w:ascii="Calibri" w:eastAsia="Times New Roman" w:hAnsi="Calibri" w:cs="Times New Roman"/>
                <w:color w:val="000000"/>
                <w:lang w:val="fr-CA"/>
              </w:rPr>
            </w:pPr>
          </w:p>
          <w:p w14:paraId="4A8A8207" w14:textId="77777777" w:rsidR="006605F4" w:rsidRPr="006D6075" w:rsidRDefault="006605F4" w:rsidP="006605F4">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L'exigence de marge initiale totale est composée de</w:t>
            </w:r>
          </w:p>
          <w:p w14:paraId="3EAB29F9" w14:textId="77777777" w:rsidR="006605F4" w:rsidRPr="006D6075" w:rsidRDefault="006605F4" w:rsidP="006605F4">
            <w:pPr>
              <w:spacing w:after="160" w:line="240" w:lineRule="auto"/>
              <w:ind w:firstLine="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Marge initiale de base</w:t>
            </w:r>
          </w:p>
          <w:p w14:paraId="477610B8" w14:textId="77777777" w:rsidR="006605F4" w:rsidRPr="006D6075" w:rsidRDefault="006605F4" w:rsidP="006605F4">
            <w:pPr>
              <w:spacing w:after="160" w:line="240" w:lineRule="auto"/>
              <w:ind w:firstLine="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Marge de variation pour les options et les éléments non réglés</w:t>
            </w:r>
          </w:p>
          <w:p w14:paraId="2FBF8778" w14:textId="54291BC3" w:rsidR="006605F4" w:rsidRPr="006D6075" w:rsidRDefault="006605F4" w:rsidP="007A2985">
            <w:pPr>
              <w:spacing w:after="160" w:line="240" w:lineRule="auto"/>
              <w:ind w:left="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xml:space="preserve">• Marges supplémentaires pour le risque de marge de capital, le risque de liquidité du marché, </w:t>
            </w:r>
            <w:r w:rsidRPr="006D6075">
              <w:rPr>
                <w:lang w:val="fr-CA"/>
              </w:rPr>
              <w:t>le risque de corrélation défavorable spécifique</w:t>
            </w:r>
            <w:r w:rsidRPr="006D6075">
              <w:rPr>
                <w:rFonts w:ascii="Calibri" w:eastAsia="Times New Roman" w:hAnsi="Calibri" w:cs="Times New Roman"/>
                <w:color w:val="000000"/>
                <w:lang w:val="fr-CA"/>
              </w:rPr>
              <w:t xml:space="preserve">, </w:t>
            </w:r>
            <w:r w:rsidRPr="006D6075">
              <w:rPr>
                <w:lang w:val="fr-CA"/>
              </w:rPr>
              <w:t>le risque d’asymétrie du règlement</w:t>
            </w:r>
            <w:r w:rsidRPr="006D6075">
              <w:rPr>
                <w:rFonts w:ascii="Calibri" w:eastAsia="Times New Roman" w:hAnsi="Calibri" w:cs="Times New Roman"/>
                <w:color w:val="000000"/>
                <w:lang w:val="fr-CA"/>
              </w:rPr>
              <w:t xml:space="preserve">, le risque de marge de variation intra-journalière, </w:t>
            </w:r>
            <w:r w:rsidRPr="006D6075">
              <w:rPr>
                <w:lang w:val="fr-CA"/>
              </w:rPr>
              <w:t>le risque d’exposition à une prime d’option impayée</w:t>
            </w:r>
            <w:r w:rsidRPr="006D6075">
              <w:rPr>
                <w:rFonts w:ascii="Calibri" w:eastAsia="Times New Roman" w:hAnsi="Calibri" w:cs="Times New Roman"/>
                <w:color w:val="000000"/>
                <w:lang w:val="fr-CA"/>
              </w:rPr>
              <w:t xml:space="preserve">, </w:t>
            </w:r>
            <w:r w:rsidRPr="006D6075">
              <w:rPr>
                <w:lang w:val="fr-CA"/>
              </w:rPr>
              <w:t>le risque relatif au jour férié bancaire</w:t>
            </w:r>
            <w:r w:rsidRPr="006D6075">
              <w:rPr>
                <w:rFonts w:ascii="Calibri" w:eastAsia="Times New Roman" w:hAnsi="Calibri" w:cs="Times New Roman"/>
                <w:color w:val="000000"/>
                <w:lang w:val="fr-CA"/>
              </w:rPr>
              <w:t xml:space="preserve"> et </w:t>
            </w:r>
            <w:r w:rsidRPr="006D6075">
              <w:rPr>
                <w:lang w:val="fr-CA"/>
              </w:rPr>
              <w:t>le risque de livraison lié à la marge de variation</w:t>
            </w:r>
            <w:r w:rsidRPr="006D6075">
              <w:rPr>
                <w:rFonts w:ascii="Calibri" w:eastAsia="Times New Roman" w:hAnsi="Calibri" w:cs="Times New Roman"/>
                <w:color w:val="000000"/>
                <w:lang w:val="fr-CA"/>
              </w:rPr>
              <w:t xml:space="preserve">, </w:t>
            </w:r>
            <w:r w:rsidRPr="006D6075">
              <w:rPr>
                <w:lang w:val="fr-CA"/>
              </w:rPr>
              <w:t>le risque à découvert pour des membres compensateurs à responsabilité limitée</w:t>
            </w:r>
            <w:r w:rsidRPr="006D6075">
              <w:rPr>
                <w:rFonts w:ascii="Calibri" w:eastAsia="Times New Roman" w:hAnsi="Calibri" w:cs="Times New Roman"/>
                <w:color w:val="000000"/>
                <w:lang w:val="fr-CA"/>
              </w:rPr>
              <w:t>,</w:t>
            </w:r>
            <w:r w:rsidR="004C0002" w:rsidRPr="006D6075">
              <w:rPr>
                <w:rFonts w:ascii="Calibri" w:eastAsia="Times New Roman" w:hAnsi="Calibri" w:cs="Times New Roman"/>
                <w:color w:val="000000"/>
                <w:lang w:val="fr-CA"/>
              </w:rPr>
              <w:t xml:space="preserve"> </w:t>
            </w:r>
            <w:r w:rsidRPr="006D6075">
              <w:rPr>
                <w:rFonts w:ascii="Calibri" w:eastAsia="Times New Roman" w:hAnsi="Calibri" w:cs="Times New Roman"/>
                <w:color w:val="000000"/>
                <w:lang w:val="fr-CA"/>
              </w:rPr>
              <w:t xml:space="preserve">le risque MBC intra-journalier, </w:t>
            </w:r>
            <w:r w:rsidR="004C0002" w:rsidRPr="006D6075">
              <w:rPr>
                <w:rFonts w:ascii="Calibri" w:eastAsia="Times New Roman" w:hAnsi="Calibri" w:cs="Times New Roman"/>
                <w:color w:val="000000"/>
                <w:lang w:val="fr-CA"/>
              </w:rPr>
              <w:t xml:space="preserve">le </w:t>
            </w:r>
            <w:r w:rsidRPr="006D6075">
              <w:rPr>
                <w:rFonts w:ascii="Calibri" w:eastAsia="Times New Roman" w:hAnsi="Calibri" w:cs="Times New Roman"/>
                <w:color w:val="000000"/>
                <w:lang w:val="fr-CA"/>
              </w:rPr>
              <w:t>risque de positions MBC non déclarées et toute autre marge supplémentaire</w:t>
            </w:r>
          </w:p>
          <w:p w14:paraId="61BCDBEF" w14:textId="2970824B" w:rsidR="006605F4" w:rsidRPr="00731A74" w:rsidRDefault="006B50DB" w:rsidP="006605F4">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w:t>
            </w:r>
            <w:r w:rsidR="006605F4" w:rsidRPr="006D6075">
              <w:rPr>
                <w:rFonts w:ascii="Calibri" w:eastAsia="Times New Roman" w:hAnsi="Calibri" w:cs="Times New Roman"/>
                <w:color w:val="000000"/>
                <w:lang w:val="fr-CA"/>
              </w:rPr>
              <w:t>es marges supplémentaires sont requises dans les exigences du compte maison, à l'exception de la marge supplémentaire pour le risque MBC intra-journalier et de la marge supplémentaire pour le risque de positions MBC non déclarées qui sont requises dans les exigences du compte</w:t>
            </w:r>
            <w:r w:rsidRPr="006D6075">
              <w:rPr>
                <w:rFonts w:ascii="Calibri" w:eastAsia="Times New Roman" w:hAnsi="Calibri" w:cs="Times New Roman"/>
                <w:color w:val="000000"/>
                <w:lang w:val="fr-CA"/>
              </w:rPr>
              <w:t xml:space="preserve"> de marge</w:t>
            </w:r>
            <w:r w:rsidR="006605F4" w:rsidRPr="006D6075">
              <w:rPr>
                <w:rFonts w:ascii="Calibri" w:eastAsia="Times New Roman" w:hAnsi="Calibri" w:cs="Times New Roman"/>
                <w:color w:val="000000"/>
                <w:lang w:val="fr-CA"/>
              </w:rPr>
              <w:t xml:space="preserve"> </w:t>
            </w:r>
            <w:r w:rsidRPr="006D6075">
              <w:rPr>
                <w:rFonts w:ascii="Calibri" w:eastAsia="Times New Roman" w:hAnsi="Calibri" w:cs="Times New Roman"/>
                <w:color w:val="000000"/>
                <w:lang w:val="fr-CA"/>
              </w:rPr>
              <w:t>lié au régime MBC</w:t>
            </w:r>
            <w:r w:rsidR="006605F4" w:rsidRPr="006D6075">
              <w:rPr>
                <w:rFonts w:ascii="Calibri" w:eastAsia="Times New Roman" w:hAnsi="Calibri" w:cs="Times New Roman"/>
                <w:color w:val="000000"/>
                <w:lang w:val="fr-CA"/>
              </w:rPr>
              <w:t>.</w:t>
            </w:r>
          </w:p>
          <w:p w14:paraId="6572026A" w14:textId="53016DB1" w:rsidR="006D6075" w:rsidRPr="006D6075" w:rsidRDefault="006D6075" w:rsidP="006D6075">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xml:space="preserve">Le Client </w:t>
            </w:r>
            <w:r>
              <w:rPr>
                <w:rFonts w:ascii="Calibri" w:eastAsia="Times New Roman" w:hAnsi="Calibri" w:cs="Times New Roman"/>
                <w:color w:val="000000"/>
                <w:lang w:val="fr-CA"/>
              </w:rPr>
              <w:t>Brut</w:t>
            </w:r>
            <w:r w:rsidRPr="006D6075">
              <w:rPr>
                <w:rFonts w:ascii="Calibri" w:eastAsia="Times New Roman" w:hAnsi="Calibri" w:cs="Times New Roman"/>
                <w:color w:val="000000"/>
                <w:lang w:val="fr-CA"/>
              </w:rPr>
              <w:t xml:space="preserve"> est </w:t>
            </w:r>
            <w:r>
              <w:rPr>
                <w:rFonts w:ascii="Calibri" w:eastAsia="Times New Roman" w:hAnsi="Calibri" w:cs="Times New Roman"/>
                <w:color w:val="000000"/>
                <w:lang w:val="fr-CA"/>
              </w:rPr>
              <w:t>c</w:t>
            </w:r>
            <w:r w:rsidRPr="006D6075">
              <w:rPr>
                <w:rFonts w:ascii="Calibri" w:eastAsia="Times New Roman" w:hAnsi="Calibri" w:cs="Times New Roman"/>
                <w:color w:val="000000"/>
                <w:lang w:val="fr-CA"/>
              </w:rPr>
              <w:t xml:space="preserve">lient </w:t>
            </w:r>
            <w:r>
              <w:rPr>
                <w:rFonts w:ascii="Calibri" w:eastAsia="Times New Roman" w:hAnsi="Calibri" w:cs="Times New Roman"/>
                <w:color w:val="000000"/>
                <w:lang w:val="fr-CA"/>
              </w:rPr>
              <w:t>MBC</w:t>
            </w:r>
            <w:r w:rsidRPr="006D6075">
              <w:rPr>
                <w:rFonts w:ascii="Calibri" w:eastAsia="Times New Roman" w:hAnsi="Calibri" w:cs="Times New Roman"/>
                <w:color w:val="000000"/>
                <w:lang w:val="fr-CA"/>
              </w:rPr>
              <w:t xml:space="preserve"> et Client Net est Client </w:t>
            </w:r>
            <w:r>
              <w:rPr>
                <w:rFonts w:ascii="Calibri" w:eastAsia="Times New Roman" w:hAnsi="Calibri" w:cs="Times New Roman"/>
                <w:color w:val="000000"/>
                <w:lang w:val="fr-CA"/>
              </w:rPr>
              <w:t>n</w:t>
            </w:r>
            <w:r w:rsidRPr="006D6075">
              <w:rPr>
                <w:rFonts w:ascii="Calibri" w:eastAsia="Times New Roman" w:hAnsi="Calibri" w:cs="Times New Roman"/>
                <w:color w:val="000000"/>
                <w:lang w:val="fr-CA"/>
              </w:rPr>
              <w:t>on-</w:t>
            </w:r>
            <w:r>
              <w:rPr>
                <w:rFonts w:ascii="Calibri" w:eastAsia="Times New Roman" w:hAnsi="Calibri" w:cs="Times New Roman"/>
                <w:color w:val="000000"/>
                <w:lang w:val="fr-CA"/>
              </w:rPr>
              <w:t>MBC</w:t>
            </w:r>
            <w:r w:rsidRPr="006D6075">
              <w:rPr>
                <w:rFonts w:ascii="Calibri" w:eastAsia="Times New Roman" w:hAnsi="Calibri" w:cs="Times New Roman"/>
                <w:color w:val="000000"/>
                <w:lang w:val="fr-CA"/>
              </w:rPr>
              <w:t>.</w:t>
            </w:r>
          </w:p>
          <w:p w14:paraId="0C747F54" w14:textId="2BFFE14E" w:rsidR="00BB54BE" w:rsidRDefault="00BB54BE" w:rsidP="007A2985">
            <w:pPr>
              <w:spacing w:line="240" w:lineRule="auto"/>
              <w:rPr>
                <w:rFonts w:ascii="Calibri" w:eastAsia="Times New Roman" w:hAnsi="Calibri" w:cs="Times New Roman"/>
                <w:color w:val="000000"/>
                <w:lang w:val="fr-CA"/>
              </w:rPr>
            </w:pPr>
          </w:p>
          <w:p w14:paraId="12733CD7" w14:textId="77777777" w:rsidR="00E87701" w:rsidRPr="00E87701" w:rsidRDefault="00E87701" w:rsidP="007A2985">
            <w:pPr>
              <w:spacing w:line="240" w:lineRule="auto"/>
              <w:rPr>
                <w:rFonts w:ascii="Calibri" w:eastAsia="Times New Roman" w:hAnsi="Calibri" w:cs="Times New Roman"/>
                <w:color w:val="000000"/>
                <w:lang w:val="fr-CA"/>
              </w:rPr>
            </w:pPr>
          </w:p>
          <w:p w14:paraId="6C45820B" w14:textId="77777777"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b/>
                <w:i/>
                <w:color w:val="000000"/>
                <w:lang w:val="fr-CA"/>
              </w:rPr>
              <w:t xml:space="preserve">6.2. </w:t>
            </w:r>
            <w:bookmarkStart w:id="32" w:name="lt_pId056"/>
            <w:r>
              <w:rPr>
                <w:rFonts w:ascii="Calibri" w:eastAsia="Times New Roman" w:hAnsi="Calibri" w:cs="Times New Roman"/>
                <w:b/>
                <w:i/>
                <w:color w:val="000000"/>
                <w:lang w:val="fr-CA"/>
              </w:rPr>
              <w:t>Pour chaque service de compensation</w:t>
            </w:r>
            <w:r w:rsidRPr="001C0132">
              <w:rPr>
                <w:rFonts w:ascii="Calibri" w:eastAsia="Times New Roman" w:hAnsi="Calibri" w:cs="Times New Roman"/>
                <w:b/>
                <w:i/>
                <w:color w:val="000000"/>
                <w:lang w:val="fr-CA"/>
              </w:rPr>
              <w:t xml:space="preserve">, </w:t>
            </w:r>
            <w:r>
              <w:rPr>
                <w:rFonts w:ascii="Calibri" w:eastAsia="Times New Roman" w:hAnsi="Calibri" w:cs="Times New Roman"/>
                <w:b/>
                <w:i/>
                <w:color w:val="000000"/>
                <w:lang w:val="fr-CA"/>
              </w:rPr>
              <w:t>la marge initiale totale détenue</w:t>
            </w:r>
            <w:r w:rsidRPr="001C0132">
              <w:rPr>
                <w:rFonts w:ascii="Calibri" w:eastAsia="Times New Roman" w:hAnsi="Calibri" w:cs="Times New Roman"/>
                <w:b/>
                <w:i/>
                <w:color w:val="000000"/>
                <w:lang w:val="fr-CA"/>
              </w:rPr>
              <w:t xml:space="preserve">, </w:t>
            </w:r>
            <w:bookmarkEnd w:id="32"/>
            <w:r>
              <w:rPr>
                <w:rFonts w:ascii="Calibri" w:eastAsia="Times New Roman" w:hAnsi="Calibri" w:cs="Times New Roman"/>
                <w:b/>
                <w:i/>
                <w:color w:val="000000"/>
                <w:lang w:val="fr-CA"/>
              </w:rPr>
              <w:t>répartie par compte maison et client</w:t>
            </w:r>
          </w:p>
          <w:p w14:paraId="419AD99B"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29827729" w14:textId="3D198D1F" w:rsidR="00924DD1" w:rsidRDefault="00924DD1" w:rsidP="00924DD1">
            <w:pPr>
              <w:spacing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La marge initiale totale détenue est répartie par maison, client (</w:t>
            </w:r>
            <w:r w:rsidR="00BA1FDC" w:rsidRPr="006D6075">
              <w:rPr>
                <w:rFonts w:ascii="Calibri" w:eastAsia="Times New Roman" w:hAnsi="Calibri" w:cs="Times New Roman"/>
                <w:color w:val="000000"/>
                <w:lang w:val="fr-CA"/>
              </w:rPr>
              <w:t xml:space="preserve">client </w:t>
            </w:r>
            <w:r w:rsidR="006B50DB" w:rsidRPr="006D6075">
              <w:rPr>
                <w:rFonts w:ascii="Calibri" w:eastAsia="Times New Roman" w:hAnsi="Calibri" w:cs="Times New Roman"/>
                <w:color w:val="000000"/>
                <w:lang w:val="fr-CA"/>
              </w:rPr>
              <w:t>MBC</w:t>
            </w:r>
            <w:r w:rsidR="00BA1FDC" w:rsidRPr="006D6075">
              <w:rPr>
                <w:rFonts w:ascii="Calibri" w:eastAsia="Times New Roman" w:hAnsi="Calibri" w:cs="Times New Roman"/>
                <w:color w:val="000000"/>
                <w:lang w:val="fr-CA"/>
              </w:rPr>
              <w:t xml:space="preserve"> + client non-MBC</w:t>
            </w:r>
            <w:r w:rsidRPr="006D6075">
              <w:rPr>
                <w:rFonts w:ascii="Calibri" w:eastAsia="Times New Roman" w:hAnsi="Calibri" w:cs="Times New Roman"/>
                <w:color w:val="000000"/>
                <w:lang w:val="fr-CA"/>
              </w:rPr>
              <w:t>) et total.</w:t>
            </w:r>
          </w:p>
          <w:p w14:paraId="1847A79F" w14:textId="6F06313B" w:rsidR="007A2985" w:rsidRDefault="007A2985" w:rsidP="00924DD1">
            <w:pPr>
              <w:spacing w:line="240" w:lineRule="auto"/>
              <w:jc w:val="both"/>
              <w:rPr>
                <w:rFonts w:ascii="Calibri" w:eastAsia="Times New Roman" w:hAnsi="Calibri" w:cs="Times New Roman"/>
                <w:color w:val="000000"/>
                <w:lang w:val="fr-CA"/>
              </w:rPr>
            </w:pPr>
          </w:p>
          <w:p w14:paraId="6C9AE1A7" w14:textId="40039AD7" w:rsidR="00BB54BE" w:rsidRPr="001C0132" w:rsidRDefault="00BB54BE" w:rsidP="006B76A4">
            <w:pPr>
              <w:spacing w:line="240" w:lineRule="auto"/>
              <w:jc w:val="both"/>
              <w:rPr>
                <w:rFonts w:ascii="Calibri" w:eastAsia="Times New Roman" w:hAnsi="Calibri" w:cs="Times New Roman"/>
                <w:color w:val="000000"/>
                <w:lang w:val="fr-CA"/>
              </w:rPr>
            </w:pPr>
            <w:r w:rsidRPr="00E87701">
              <w:rPr>
                <w:rFonts w:ascii="Calibri" w:eastAsia="Times New Roman" w:hAnsi="Calibri" w:cs="Times New Roman"/>
                <w:color w:val="000000"/>
                <w:lang w:val="fr-CA"/>
              </w:rPr>
              <w:br/>
            </w:r>
            <w:r w:rsidRPr="001C0132">
              <w:rPr>
                <w:rFonts w:ascii="Calibri" w:eastAsia="Times New Roman" w:hAnsi="Calibri" w:cs="Times New Roman"/>
                <w:b/>
                <w:i/>
                <w:color w:val="000000"/>
                <w:lang w:val="fr-CA"/>
              </w:rPr>
              <w:t xml:space="preserve">6.4. </w:t>
            </w:r>
            <w:bookmarkStart w:id="33" w:name="lt_pId059"/>
            <w:r w:rsidRPr="001C0132">
              <w:rPr>
                <w:rFonts w:ascii="Calibri" w:eastAsia="Times New Roman" w:hAnsi="Calibri" w:cs="Times New Roman"/>
                <w:b/>
                <w:i/>
                <w:color w:val="000000"/>
                <w:lang w:val="fr-CA"/>
              </w:rPr>
              <w:t xml:space="preserve">Fréquence </w:t>
            </w:r>
            <w:bookmarkEnd w:id="33"/>
            <w:r>
              <w:rPr>
                <w:rFonts w:ascii="Calibri" w:eastAsia="Times New Roman" w:hAnsi="Calibri" w:cs="Times New Roman"/>
                <w:b/>
                <w:i/>
                <w:color w:val="000000"/>
                <w:lang w:val="fr-CA"/>
              </w:rPr>
              <w:t>d’examen des paramètres</w:t>
            </w:r>
          </w:p>
          <w:p w14:paraId="0CCFB56A"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176F4CA5" w14:textId="5E7AA7CE" w:rsidR="007C16CF" w:rsidRPr="001C0132" w:rsidRDefault="00BB54BE" w:rsidP="00A02B21">
            <w:pPr>
              <w:spacing w:line="240" w:lineRule="auto"/>
              <w:jc w:val="both"/>
              <w:rPr>
                <w:rFonts w:ascii="Calibri" w:eastAsia="Times New Roman" w:hAnsi="Calibri" w:cs="Times New Roman"/>
                <w:color w:val="000000"/>
                <w:lang w:val="fr-CA"/>
              </w:rPr>
            </w:pPr>
            <w:bookmarkStart w:id="34" w:name="lt_pId060"/>
            <w:r>
              <w:rPr>
                <w:rFonts w:ascii="Calibri" w:eastAsia="Times New Roman" w:hAnsi="Calibri" w:cs="Times New Roman"/>
                <w:color w:val="000000"/>
                <w:lang w:val="fr-CA"/>
              </w:rPr>
              <w:t>Les intervalles de marge</w:t>
            </w:r>
            <w:r w:rsidR="00A02B21">
              <w:rPr>
                <w:rFonts w:ascii="Calibri" w:eastAsia="Times New Roman" w:hAnsi="Calibri" w:cs="Times New Roman"/>
                <w:color w:val="000000"/>
                <w:lang w:val="fr-CA"/>
              </w:rPr>
              <w:t>, les</w:t>
            </w:r>
            <w:r w:rsidR="00A02B21" w:rsidRPr="00A02B21">
              <w:rPr>
                <w:lang w:val="fr-CA"/>
              </w:rPr>
              <w:t xml:space="preserve"> </w:t>
            </w:r>
            <w:r w:rsidR="00A02B21" w:rsidRPr="00A02B21">
              <w:rPr>
                <w:rFonts w:ascii="Calibri" w:eastAsia="Times New Roman" w:hAnsi="Calibri" w:cs="Times New Roman"/>
                <w:color w:val="000000"/>
                <w:lang w:val="fr-CA"/>
              </w:rPr>
              <w:t>écarts intra</w:t>
            </w:r>
            <w:r w:rsidR="00B26556">
              <w:rPr>
                <w:rFonts w:ascii="Calibri" w:eastAsia="Times New Roman" w:hAnsi="Calibri" w:cs="Times New Roman"/>
                <w:color w:val="000000"/>
                <w:lang w:val="fr-CA"/>
              </w:rPr>
              <w:t>-</w:t>
            </w:r>
            <w:r w:rsidR="00A02B21" w:rsidRPr="00A02B21">
              <w:rPr>
                <w:rFonts w:ascii="Calibri" w:eastAsia="Times New Roman" w:hAnsi="Calibri" w:cs="Times New Roman"/>
                <w:color w:val="000000"/>
                <w:lang w:val="fr-CA"/>
              </w:rPr>
              <w:t>marchandises et inter</w:t>
            </w:r>
            <w:r w:rsidR="00B26556">
              <w:rPr>
                <w:rFonts w:ascii="Calibri" w:eastAsia="Times New Roman" w:hAnsi="Calibri" w:cs="Times New Roman"/>
                <w:color w:val="000000"/>
                <w:lang w:val="fr-CA"/>
              </w:rPr>
              <w:t>-</w:t>
            </w:r>
            <w:proofErr w:type="gramStart"/>
            <w:r w:rsidR="00A02B21" w:rsidRPr="00A02B21">
              <w:rPr>
                <w:rFonts w:ascii="Calibri" w:eastAsia="Times New Roman" w:hAnsi="Calibri" w:cs="Times New Roman"/>
                <w:color w:val="000000"/>
                <w:lang w:val="fr-CA"/>
              </w:rPr>
              <w:t>marchandises</w:t>
            </w:r>
            <w:r w:rsidR="00A02B21">
              <w:rPr>
                <w:rFonts w:ascii="Calibri" w:eastAsia="Times New Roman" w:hAnsi="Calibri" w:cs="Times New Roman"/>
                <w:color w:val="000000"/>
                <w:lang w:val="fr-CA"/>
              </w:rPr>
              <w:t xml:space="preserve"> </w:t>
            </w:r>
            <w:r>
              <w:rPr>
                <w:rFonts w:ascii="Calibri" w:eastAsia="Times New Roman" w:hAnsi="Calibri" w:cs="Times New Roman"/>
                <w:color w:val="000000"/>
                <w:lang w:val="fr-CA"/>
              </w:rPr>
              <w:t xml:space="preserve"> sont</w:t>
            </w:r>
            <w:proofErr w:type="gramEnd"/>
            <w:r>
              <w:rPr>
                <w:rFonts w:ascii="Calibri" w:eastAsia="Times New Roman" w:hAnsi="Calibri" w:cs="Times New Roman"/>
                <w:color w:val="000000"/>
                <w:lang w:val="fr-CA"/>
              </w:rPr>
              <w:t xml:space="preserve"> examinés sur une base quotidienne</w:t>
            </w:r>
            <w:r w:rsidRPr="001C0132">
              <w:rPr>
                <w:rFonts w:ascii="Calibri" w:eastAsia="Times New Roman" w:hAnsi="Calibri" w:cs="Times New Roman"/>
                <w:color w:val="000000"/>
                <w:lang w:val="fr-CA"/>
              </w:rPr>
              <w:t xml:space="preserve"> </w:t>
            </w:r>
            <w:bookmarkEnd w:id="34"/>
            <w:r w:rsidR="00A02B21">
              <w:rPr>
                <w:rFonts w:ascii="Calibri" w:eastAsia="Times New Roman" w:hAnsi="Calibri" w:cs="Times New Roman"/>
                <w:color w:val="000000"/>
                <w:lang w:val="fr-CA"/>
              </w:rPr>
              <w:t>.</w:t>
            </w:r>
          </w:p>
        </w:tc>
      </w:tr>
      <w:tr w:rsidR="00BB54BE" w:rsidRPr="00FF5E27" w14:paraId="0E9AFD70" w14:textId="77777777" w:rsidTr="006B76A4">
        <w:trPr>
          <w:trHeight w:val="2100"/>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4F86CFD2"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E16889">
              <w:rPr>
                <w:rFonts w:ascii="Calibri" w:eastAsia="Times New Roman" w:hAnsi="Calibri" w:cs="Times New Roman"/>
                <w:color w:val="000000"/>
                <w:lang w:val="fr-CA"/>
              </w:rPr>
              <w:t>7</w:t>
            </w:r>
          </w:p>
        </w:tc>
        <w:tc>
          <w:tcPr>
            <w:tcW w:w="7767" w:type="dxa"/>
            <w:tcBorders>
              <w:top w:val="single" w:sz="4" w:space="0" w:color="auto"/>
              <w:left w:val="single" w:sz="4" w:space="0" w:color="auto"/>
              <w:bottom w:val="single" w:sz="4" w:space="0" w:color="auto"/>
              <w:right w:val="single" w:sz="4" w:space="0" w:color="auto"/>
            </w:tcBorders>
            <w:vAlign w:val="center"/>
          </w:tcPr>
          <w:p w14:paraId="01DF928B" w14:textId="77777777" w:rsidR="00BB54BE" w:rsidRPr="001C0132" w:rsidRDefault="00BB54BE" w:rsidP="006B76A4">
            <w:pPr>
              <w:spacing w:line="240" w:lineRule="auto"/>
              <w:rPr>
                <w:rFonts w:ascii="Calibri" w:eastAsia="Times New Roman" w:hAnsi="Calibri" w:cs="Times New Roman"/>
                <w:color w:val="000000"/>
                <w:lang w:val="fr-CA"/>
              </w:rPr>
            </w:pPr>
          </w:p>
          <w:p w14:paraId="79059D82" w14:textId="77777777" w:rsidR="00BB54BE" w:rsidRPr="001C0132" w:rsidRDefault="00BB54BE"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7.1. </w:t>
            </w:r>
            <w:bookmarkStart w:id="35" w:name="lt_pId063"/>
            <w:r>
              <w:rPr>
                <w:rFonts w:ascii="Calibri" w:eastAsia="Times New Roman" w:hAnsi="Calibri" w:cs="Times New Roman"/>
                <w:b/>
                <w:i/>
                <w:color w:val="000000"/>
                <w:lang w:val="fr-CA"/>
              </w:rPr>
              <w:t xml:space="preserve">Taille et </w:t>
            </w:r>
            <w:r w:rsidRPr="001C0132">
              <w:rPr>
                <w:rFonts w:ascii="Calibri" w:eastAsia="Times New Roman" w:hAnsi="Calibri" w:cs="Times New Roman"/>
                <w:b/>
                <w:i/>
                <w:color w:val="000000"/>
                <w:lang w:val="fr-CA"/>
              </w:rPr>
              <w:t xml:space="preserve">composition </w:t>
            </w:r>
            <w:r>
              <w:rPr>
                <w:rFonts w:ascii="Calibri" w:eastAsia="Times New Roman" w:hAnsi="Calibri" w:cs="Times New Roman"/>
                <w:b/>
                <w:i/>
                <w:color w:val="000000"/>
                <w:lang w:val="fr-CA"/>
              </w:rPr>
              <w:t>des ressources admissibles liquides pour chaque service de compensation</w:t>
            </w:r>
            <w:bookmarkEnd w:id="35"/>
          </w:p>
          <w:p w14:paraId="67787B37" w14:textId="77777777" w:rsidR="00BB54BE" w:rsidRPr="001C0132" w:rsidRDefault="00BB54BE" w:rsidP="006B76A4">
            <w:pPr>
              <w:spacing w:line="240" w:lineRule="auto"/>
              <w:ind w:left="391"/>
              <w:jc w:val="both"/>
              <w:rPr>
                <w:rFonts w:ascii="Calibri" w:eastAsia="Times New Roman" w:hAnsi="Calibri" w:cs="Times New Roman"/>
                <w:color w:val="000000"/>
                <w:lang w:val="fr-CA"/>
              </w:rPr>
            </w:pPr>
          </w:p>
          <w:p w14:paraId="141BC879" w14:textId="60C7AC27" w:rsidR="00BB54BE" w:rsidRPr="001C0132" w:rsidRDefault="00BB54BE" w:rsidP="00BB54BE">
            <w:pPr>
              <w:pStyle w:val="ListParagraph"/>
              <w:numPr>
                <w:ilvl w:val="0"/>
                <w:numId w:val="29"/>
              </w:numPr>
              <w:spacing w:line="276" w:lineRule="auto"/>
              <w:contextualSpacing/>
              <w:jc w:val="both"/>
              <w:rPr>
                <w:color w:val="000000"/>
                <w:lang w:eastAsia="en-US"/>
              </w:rPr>
            </w:pPr>
            <w:bookmarkStart w:id="36" w:name="lt_pId064"/>
            <w:r>
              <w:rPr>
                <w:color w:val="000000"/>
                <w:lang w:eastAsia="en-US"/>
              </w:rPr>
              <w:t xml:space="preserve">Les scénarios de marchés sous contrainte ont été appliqués à la </w:t>
            </w:r>
            <w:r w:rsidR="00DD546E">
              <w:rPr>
                <w:color w:val="000000"/>
                <w:lang w:eastAsia="en-US"/>
              </w:rPr>
              <w:t xml:space="preserve">valeur </w:t>
            </w:r>
            <w:r>
              <w:rPr>
                <w:color w:val="000000"/>
                <w:lang w:eastAsia="en-US"/>
              </w:rPr>
              <w:t>au marché</w:t>
            </w:r>
            <w:r w:rsidRPr="001C0132">
              <w:rPr>
                <w:color w:val="000000"/>
                <w:lang w:eastAsia="en-US"/>
              </w:rPr>
              <w:t xml:space="preserve"> </w:t>
            </w:r>
            <w:r>
              <w:rPr>
                <w:color w:val="000000"/>
                <w:lang w:eastAsia="en-US"/>
              </w:rPr>
              <w:t>de la ressource admissible liquide</w:t>
            </w:r>
            <w:r w:rsidRPr="001C0132">
              <w:rPr>
                <w:color w:val="000000"/>
                <w:lang w:eastAsia="en-US"/>
              </w:rPr>
              <w:t>.</w:t>
            </w:r>
            <w:bookmarkStart w:id="37" w:name="lt_pId065"/>
            <w:bookmarkEnd w:id="36"/>
            <w:r>
              <w:rPr>
                <w:color w:val="000000"/>
                <w:lang w:eastAsia="en-US"/>
              </w:rPr>
              <w:t xml:space="preserve"> Les décotes requises conformément aux ententes de financement préétablies</w:t>
            </w:r>
            <w:r w:rsidRPr="001C0132">
              <w:rPr>
                <w:color w:val="000000"/>
                <w:lang w:eastAsia="en-US"/>
              </w:rPr>
              <w:t xml:space="preserve"> </w:t>
            </w:r>
            <w:r>
              <w:rPr>
                <w:color w:val="000000"/>
                <w:lang w:eastAsia="en-US"/>
              </w:rPr>
              <w:t>ont également été appliquées, le cas échéant</w:t>
            </w:r>
            <w:r w:rsidRPr="001C0132">
              <w:rPr>
                <w:color w:val="000000"/>
                <w:lang w:eastAsia="en-US"/>
              </w:rPr>
              <w:t>.</w:t>
            </w:r>
            <w:bookmarkEnd w:id="37"/>
          </w:p>
          <w:p w14:paraId="03DC28C8" w14:textId="77777777" w:rsidR="00F40A52" w:rsidRPr="00C92937" w:rsidRDefault="00BB54BE" w:rsidP="00055E80">
            <w:pPr>
              <w:pStyle w:val="ListParagraph"/>
              <w:numPr>
                <w:ilvl w:val="0"/>
                <w:numId w:val="29"/>
              </w:numPr>
              <w:spacing w:line="276" w:lineRule="auto"/>
              <w:contextualSpacing/>
              <w:jc w:val="both"/>
              <w:rPr>
                <w:b/>
                <w:i/>
                <w:color w:val="000000"/>
                <w:lang w:eastAsia="en-US"/>
              </w:rPr>
            </w:pPr>
            <w:bookmarkStart w:id="38" w:name="lt_pId066"/>
            <w:r>
              <w:rPr>
                <w:color w:val="000000"/>
                <w:lang w:eastAsia="en-US"/>
              </w:rPr>
              <w:t xml:space="preserve">Le point </w:t>
            </w:r>
            <w:r w:rsidRPr="001C0132">
              <w:rPr>
                <w:color w:val="000000"/>
                <w:lang w:eastAsia="en-US"/>
              </w:rPr>
              <w:t xml:space="preserve">7.1.9 </w:t>
            </w:r>
            <w:r>
              <w:rPr>
                <w:color w:val="000000"/>
                <w:lang w:eastAsia="en-US"/>
              </w:rPr>
              <w:t xml:space="preserve">prend en compte les bons du </w:t>
            </w:r>
            <w:r w:rsidR="00DD546E">
              <w:rPr>
                <w:color w:val="000000"/>
                <w:lang w:eastAsia="en-US"/>
              </w:rPr>
              <w:t>Trésor</w:t>
            </w:r>
            <w:r w:rsidRPr="001C0132">
              <w:rPr>
                <w:color w:val="000000"/>
                <w:lang w:eastAsia="en-US"/>
              </w:rPr>
              <w:t>.</w:t>
            </w:r>
            <w:bookmarkEnd w:id="38"/>
            <w:r w:rsidRPr="001C0132">
              <w:rPr>
                <w:color w:val="000000"/>
                <w:lang w:eastAsia="en-US"/>
              </w:rPr>
              <w:t xml:space="preserve"> </w:t>
            </w:r>
            <w:bookmarkStart w:id="39" w:name="lt_pId067"/>
            <w:r>
              <w:rPr>
                <w:color w:val="000000"/>
                <w:lang w:eastAsia="en-US"/>
              </w:rPr>
              <w:t xml:space="preserve">Les bons du </w:t>
            </w:r>
            <w:r w:rsidR="00DD546E">
              <w:rPr>
                <w:color w:val="000000"/>
                <w:lang w:eastAsia="en-US"/>
              </w:rPr>
              <w:t>Trésor</w:t>
            </w:r>
            <w:r>
              <w:rPr>
                <w:color w:val="000000"/>
                <w:lang w:eastAsia="en-US"/>
              </w:rPr>
              <w:t xml:space="preserve"> peuvent être liquidés le </w:t>
            </w:r>
            <w:r w:rsidR="00DD546E">
              <w:rPr>
                <w:color w:val="000000"/>
                <w:lang w:eastAsia="en-US"/>
              </w:rPr>
              <w:t>jour même</w:t>
            </w:r>
            <w:r>
              <w:rPr>
                <w:color w:val="000000"/>
                <w:lang w:eastAsia="en-US"/>
              </w:rPr>
              <w:t xml:space="preserve"> et sont donc considérés comme du numéraire </w:t>
            </w:r>
            <w:r w:rsidRPr="001C0132">
              <w:rPr>
                <w:color w:val="000000"/>
                <w:lang w:eastAsia="en-US"/>
              </w:rPr>
              <w:t>(</w:t>
            </w:r>
            <w:r>
              <w:rPr>
                <w:color w:val="000000"/>
                <w:lang w:eastAsia="en-US"/>
              </w:rPr>
              <w:t xml:space="preserve">en </w:t>
            </w:r>
            <w:r>
              <w:rPr>
                <w:color w:val="000000"/>
                <w:lang w:eastAsia="en-US"/>
              </w:rPr>
              <w:lastRenderedPageBreak/>
              <w:t>fonction de la valeur courante sur le marché</w:t>
            </w:r>
            <w:r w:rsidRPr="001C0132">
              <w:rPr>
                <w:color w:val="000000"/>
                <w:lang w:eastAsia="en-US"/>
              </w:rPr>
              <w:t>).</w:t>
            </w:r>
            <w:bookmarkEnd w:id="39"/>
          </w:p>
          <w:p w14:paraId="08E6751F" w14:textId="2F2E3A10" w:rsidR="00BB54BE" w:rsidRPr="007C16CF" w:rsidRDefault="00BB54BE" w:rsidP="00C92937">
            <w:pPr>
              <w:contextualSpacing/>
              <w:jc w:val="both"/>
              <w:rPr>
                <w:b/>
                <w:i/>
                <w:color w:val="000000"/>
                <w:lang w:val="fr-CA"/>
              </w:rPr>
            </w:pPr>
          </w:p>
          <w:p w14:paraId="0C27CB5B" w14:textId="1150830D"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b/>
                <w:i/>
                <w:color w:val="000000"/>
                <w:lang w:val="fr-CA"/>
              </w:rPr>
              <w:t xml:space="preserve">7.3.1. </w:t>
            </w:r>
            <w:bookmarkStart w:id="40" w:name="lt_pId069"/>
            <w:r w:rsidR="00533713">
              <w:rPr>
                <w:rFonts w:ascii="Calibri" w:eastAsia="Times New Roman" w:hAnsi="Calibri" w:cs="Times New Roman"/>
                <w:b/>
                <w:i/>
                <w:color w:val="000000"/>
                <w:lang w:val="fr-CA"/>
              </w:rPr>
              <w:t>Estimation de l</w:t>
            </w:r>
            <w:r>
              <w:rPr>
                <w:rFonts w:ascii="Calibri" w:eastAsia="Times New Roman" w:hAnsi="Calibri" w:cs="Times New Roman"/>
                <w:b/>
                <w:i/>
                <w:color w:val="000000"/>
                <w:lang w:val="fr-CA"/>
              </w:rPr>
              <w:t xml:space="preserve">’obligation de </w:t>
            </w:r>
            <w:r w:rsidR="00533713">
              <w:rPr>
                <w:rFonts w:ascii="Calibri" w:eastAsia="Times New Roman" w:hAnsi="Calibri" w:cs="Times New Roman"/>
                <w:b/>
                <w:i/>
                <w:color w:val="000000"/>
                <w:lang w:val="fr-CA"/>
              </w:rPr>
              <w:t xml:space="preserve">paiement le </w:t>
            </w:r>
            <w:r w:rsidR="00DD546E">
              <w:rPr>
                <w:rFonts w:ascii="Calibri" w:eastAsia="Times New Roman" w:hAnsi="Calibri" w:cs="Times New Roman"/>
                <w:b/>
                <w:i/>
                <w:color w:val="000000"/>
                <w:lang w:val="fr-CA"/>
              </w:rPr>
              <w:t>jour même</w:t>
            </w:r>
            <w:r w:rsidR="00533713">
              <w:rPr>
                <w:rFonts w:ascii="Calibri" w:eastAsia="Times New Roman" w:hAnsi="Calibri" w:cs="Times New Roman"/>
                <w:b/>
                <w:i/>
                <w:color w:val="000000"/>
                <w:lang w:val="fr-CA"/>
              </w:rPr>
              <w:t xml:space="preserve"> et, le cas échéant</w:t>
            </w:r>
            <w:r w:rsidR="00DD546E">
              <w:rPr>
                <w:rFonts w:ascii="Calibri" w:eastAsia="Times New Roman" w:hAnsi="Calibri" w:cs="Times New Roman"/>
                <w:b/>
                <w:i/>
                <w:color w:val="000000"/>
                <w:lang w:val="fr-CA"/>
              </w:rPr>
              <w:t xml:space="preserve">, </w:t>
            </w:r>
            <w:r w:rsidR="00533713">
              <w:rPr>
                <w:rFonts w:ascii="Calibri" w:eastAsia="Times New Roman" w:hAnsi="Calibri" w:cs="Times New Roman"/>
                <w:b/>
                <w:i/>
                <w:color w:val="000000"/>
                <w:lang w:val="fr-CA"/>
              </w:rPr>
              <w:t xml:space="preserve">l’obligation de paiement sur </w:t>
            </w:r>
            <w:r w:rsidR="00B26556">
              <w:rPr>
                <w:rFonts w:ascii="Calibri" w:eastAsia="Times New Roman" w:hAnsi="Calibri" w:cs="Times New Roman"/>
                <w:b/>
                <w:i/>
                <w:color w:val="000000"/>
                <w:lang w:val="fr-CA"/>
              </w:rPr>
              <w:t>plusieurs jours totaux</w:t>
            </w:r>
            <w:r w:rsidR="00533713">
              <w:rPr>
                <w:rFonts w:ascii="Calibri" w:eastAsia="Times New Roman" w:hAnsi="Calibri" w:cs="Times New Roman"/>
                <w:b/>
                <w:i/>
                <w:color w:val="000000"/>
                <w:lang w:val="fr-CA"/>
              </w:rPr>
              <w:t xml:space="preserve"> </w:t>
            </w:r>
            <w:r w:rsidR="00DA635D">
              <w:rPr>
                <w:rFonts w:ascii="Calibri" w:eastAsia="Times New Roman" w:hAnsi="Calibri" w:cs="Times New Roman"/>
                <w:b/>
                <w:i/>
                <w:color w:val="000000"/>
                <w:lang w:val="fr-CA"/>
              </w:rPr>
              <w:t xml:space="preserve">la plus importante </w:t>
            </w:r>
            <w:r w:rsidR="00FB733A">
              <w:rPr>
                <w:rFonts w:ascii="Calibri" w:eastAsia="Times New Roman" w:hAnsi="Calibri" w:cs="Times New Roman"/>
                <w:b/>
                <w:i/>
                <w:color w:val="000000"/>
                <w:lang w:val="fr-CA"/>
              </w:rPr>
              <w:t>qui découlerait du défaut d’un seul participant et de ses affiliés</w:t>
            </w:r>
            <w:r w:rsidRPr="001C0132">
              <w:rPr>
                <w:rFonts w:ascii="Calibri" w:eastAsia="Times New Roman" w:hAnsi="Calibri" w:cs="Times New Roman"/>
                <w:b/>
                <w:i/>
                <w:color w:val="000000"/>
                <w:lang w:val="fr-CA"/>
              </w:rPr>
              <w:t xml:space="preserve"> (</w:t>
            </w:r>
            <w:r w:rsidR="00FB733A">
              <w:rPr>
                <w:rFonts w:ascii="Calibri" w:eastAsia="Times New Roman" w:hAnsi="Calibri" w:cs="Times New Roman"/>
                <w:b/>
                <w:i/>
                <w:color w:val="000000"/>
                <w:lang w:val="fr-CA"/>
              </w:rPr>
              <w:t>y compris les opérations compensées pour des participants indirects</w:t>
            </w:r>
            <w:r w:rsidRPr="001C0132">
              <w:rPr>
                <w:rFonts w:ascii="Calibri" w:eastAsia="Times New Roman" w:hAnsi="Calibri" w:cs="Times New Roman"/>
                <w:b/>
                <w:i/>
                <w:color w:val="000000"/>
                <w:lang w:val="fr-CA"/>
              </w:rPr>
              <w:t xml:space="preserve">) </w:t>
            </w:r>
            <w:r w:rsidR="00FB733A">
              <w:rPr>
                <w:rFonts w:ascii="Calibri" w:eastAsia="Times New Roman" w:hAnsi="Calibri" w:cs="Times New Roman"/>
                <w:b/>
                <w:i/>
                <w:color w:val="000000"/>
                <w:lang w:val="fr-CA"/>
              </w:rPr>
              <w:t xml:space="preserve">dans des conditions de marché </w:t>
            </w:r>
            <w:r w:rsidR="00DD546E">
              <w:rPr>
                <w:rFonts w:ascii="Calibri" w:eastAsia="Times New Roman" w:hAnsi="Calibri" w:cs="Times New Roman"/>
                <w:b/>
                <w:i/>
                <w:color w:val="000000"/>
                <w:lang w:val="fr-CA"/>
              </w:rPr>
              <w:t>extrêmes,</w:t>
            </w:r>
            <w:r w:rsidR="00FB733A">
              <w:rPr>
                <w:rFonts w:ascii="Calibri" w:eastAsia="Times New Roman" w:hAnsi="Calibri" w:cs="Times New Roman"/>
                <w:b/>
                <w:i/>
                <w:color w:val="000000"/>
                <w:lang w:val="fr-CA"/>
              </w:rPr>
              <w:t xml:space="preserve"> mais plausible</w:t>
            </w:r>
            <w:r w:rsidRPr="001C0132">
              <w:rPr>
                <w:rFonts w:ascii="Calibri" w:eastAsia="Times New Roman" w:hAnsi="Calibri" w:cs="Times New Roman"/>
                <w:b/>
                <w:i/>
                <w:color w:val="000000"/>
                <w:lang w:val="fr-CA"/>
              </w:rPr>
              <w:t>s</w:t>
            </w:r>
            <w:bookmarkEnd w:id="40"/>
          </w:p>
          <w:p w14:paraId="6DB11229"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6FE30E9D" w14:textId="77777777" w:rsidR="00BB54BE" w:rsidRDefault="00DA635D" w:rsidP="00DA635D">
            <w:pPr>
              <w:spacing w:line="240" w:lineRule="auto"/>
              <w:jc w:val="both"/>
              <w:rPr>
                <w:rFonts w:ascii="Calibri" w:eastAsia="Times New Roman" w:hAnsi="Calibri" w:cs="Times New Roman"/>
                <w:color w:val="000000"/>
                <w:lang w:val="fr-CA"/>
              </w:rPr>
            </w:pPr>
            <w:bookmarkStart w:id="41" w:name="lt_pId070"/>
            <w:r>
              <w:rPr>
                <w:rFonts w:ascii="Calibri" w:eastAsia="Times New Roman" w:hAnsi="Calibri" w:cs="Times New Roman"/>
                <w:color w:val="000000"/>
                <w:lang w:val="fr-CA"/>
              </w:rPr>
              <w:t>L’estimation de l’</w:t>
            </w:r>
            <w:r w:rsidR="00BB54BE" w:rsidRPr="001C0132">
              <w:rPr>
                <w:rFonts w:ascii="Calibri" w:eastAsia="Times New Roman" w:hAnsi="Calibri" w:cs="Times New Roman"/>
                <w:color w:val="000000"/>
                <w:lang w:val="fr-CA"/>
              </w:rPr>
              <w:t xml:space="preserve">obligation </w:t>
            </w:r>
            <w:r>
              <w:rPr>
                <w:rFonts w:ascii="Calibri" w:eastAsia="Times New Roman" w:hAnsi="Calibri" w:cs="Times New Roman"/>
                <w:color w:val="000000"/>
                <w:lang w:val="fr-CA"/>
              </w:rPr>
              <w:t>de paiement la plus importante est définie comme étant l’exposition brute au risque de liquidité</w:t>
            </w:r>
            <w:r w:rsidR="00BB54BE" w:rsidRPr="001C0132">
              <w:rPr>
                <w:rFonts w:ascii="Calibri" w:eastAsia="Times New Roman" w:hAnsi="Calibri" w:cs="Times New Roman"/>
                <w:color w:val="000000"/>
                <w:lang w:val="fr-CA"/>
              </w:rPr>
              <w:t xml:space="preserve"> </w:t>
            </w:r>
            <w:r>
              <w:rPr>
                <w:rFonts w:ascii="Calibri" w:eastAsia="Times New Roman" w:hAnsi="Calibri" w:cs="Times New Roman"/>
                <w:color w:val="000000"/>
                <w:lang w:val="fr-CA"/>
              </w:rPr>
              <w:t>qui sous-tend le manque de liquidité le plus élevé</w:t>
            </w:r>
            <w:r w:rsidR="00BB54BE" w:rsidRPr="001C0132">
              <w:rPr>
                <w:rFonts w:ascii="Calibri" w:eastAsia="Times New Roman" w:hAnsi="Calibri" w:cs="Times New Roman"/>
                <w:color w:val="000000"/>
                <w:lang w:val="fr-CA"/>
              </w:rPr>
              <w:t xml:space="preserve"> (</w:t>
            </w:r>
            <w:r>
              <w:rPr>
                <w:rFonts w:ascii="Calibri" w:eastAsia="Times New Roman" w:hAnsi="Calibri" w:cs="Times New Roman"/>
                <w:color w:val="000000"/>
                <w:lang w:val="fr-CA"/>
              </w:rPr>
              <w:t>exposition brute au risque de liquidité moins ressources admissibles liquides</w:t>
            </w:r>
            <w:r w:rsidR="00BB54BE" w:rsidRPr="001C0132">
              <w:rPr>
                <w:rFonts w:ascii="Calibri" w:eastAsia="Times New Roman" w:hAnsi="Calibri" w:cs="Times New Roman"/>
                <w:color w:val="000000"/>
                <w:lang w:val="fr-CA"/>
              </w:rPr>
              <w:t>).</w:t>
            </w:r>
            <w:bookmarkEnd w:id="41"/>
          </w:p>
          <w:p w14:paraId="0936B9F0" w14:textId="77777777" w:rsidR="007C16CF" w:rsidRDefault="007C16CF" w:rsidP="00256E68">
            <w:pPr>
              <w:rPr>
                <w:rFonts w:ascii="Calibri" w:eastAsia="Times New Roman" w:hAnsi="Calibri" w:cs="Times New Roman"/>
                <w:lang w:val="fr-CA"/>
              </w:rPr>
            </w:pPr>
          </w:p>
          <w:p w14:paraId="2ED66C5E" w14:textId="5728BE43" w:rsidR="00D669A2" w:rsidRDefault="00D669A2" w:rsidP="00D669A2">
            <w:pPr>
              <w:spacing w:line="240" w:lineRule="auto"/>
              <w:jc w:val="both"/>
              <w:rPr>
                <w:rFonts w:ascii="Calibri" w:eastAsia="Times New Roman" w:hAnsi="Calibri" w:cs="Times New Roman"/>
                <w:b/>
                <w:i/>
                <w:color w:val="000000"/>
                <w:lang w:val="fr-CA"/>
              </w:rPr>
            </w:pPr>
            <w:r>
              <w:rPr>
                <w:rFonts w:ascii="Calibri" w:eastAsia="Times New Roman" w:hAnsi="Calibri" w:cs="Times New Roman"/>
                <w:b/>
                <w:i/>
                <w:color w:val="000000"/>
                <w:lang w:val="fr-CA"/>
              </w:rPr>
              <w:t>7.3.4</w:t>
            </w:r>
            <w:r w:rsidRPr="001C0132">
              <w:rPr>
                <w:rFonts w:ascii="Calibri" w:eastAsia="Times New Roman" w:hAnsi="Calibri" w:cs="Times New Roman"/>
                <w:b/>
                <w:i/>
                <w:color w:val="000000"/>
                <w:lang w:val="fr-CA"/>
              </w:rPr>
              <w:t xml:space="preserve">. </w:t>
            </w:r>
            <w:r w:rsidR="00B26556">
              <w:rPr>
                <w:rFonts w:ascii="Calibri" w:eastAsia="Times New Roman" w:hAnsi="Calibri" w:cs="Times New Roman"/>
                <w:b/>
                <w:i/>
                <w:color w:val="000000"/>
                <w:lang w:val="fr-CA"/>
              </w:rPr>
              <w:t>La</w:t>
            </w:r>
            <w:r w:rsidR="00697D23">
              <w:rPr>
                <w:rFonts w:ascii="Calibri" w:eastAsia="Times New Roman" w:hAnsi="Calibri" w:cs="Times New Roman"/>
                <w:b/>
                <w:i/>
                <w:color w:val="000000"/>
                <w:lang w:val="fr-CA"/>
              </w:rPr>
              <w:t xml:space="preserve"> plus importante o</w:t>
            </w:r>
            <w:r>
              <w:rPr>
                <w:rFonts w:ascii="Calibri" w:eastAsia="Times New Roman" w:hAnsi="Calibri" w:cs="Times New Roman"/>
                <w:b/>
                <w:i/>
                <w:color w:val="000000"/>
                <w:lang w:val="fr-CA"/>
              </w:rPr>
              <w:t>bligation de paiement</w:t>
            </w:r>
            <w:r w:rsidR="00697D23">
              <w:rPr>
                <w:rFonts w:ascii="Calibri" w:eastAsia="Times New Roman" w:hAnsi="Calibri" w:cs="Times New Roman"/>
                <w:b/>
                <w:i/>
                <w:color w:val="000000"/>
                <w:lang w:val="fr-CA"/>
              </w:rPr>
              <w:t xml:space="preserve"> réelle </w:t>
            </w:r>
            <w:r>
              <w:rPr>
                <w:rFonts w:ascii="Calibri" w:eastAsia="Times New Roman" w:hAnsi="Calibri" w:cs="Times New Roman"/>
                <w:b/>
                <w:i/>
                <w:color w:val="000000"/>
                <w:lang w:val="fr-CA"/>
              </w:rPr>
              <w:t>le jour même et</w:t>
            </w:r>
            <w:r w:rsidR="00697D23">
              <w:rPr>
                <w:rFonts w:ascii="Calibri" w:eastAsia="Times New Roman" w:hAnsi="Calibri" w:cs="Times New Roman"/>
                <w:b/>
                <w:i/>
                <w:color w:val="000000"/>
                <w:lang w:val="fr-CA"/>
              </w:rPr>
              <w:t xml:space="preserve"> </w:t>
            </w:r>
            <w:r>
              <w:rPr>
                <w:rFonts w:ascii="Calibri" w:eastAsia="Times New Roman" w:hAnsi="Calibri" w:cs="Times New Roman"/>
                <w:b/>
                <w:i/>
                <w:color w:val="000000"/>
                <w:lang w:val="fr-CA"/>
              </w:rPr>
              <w:t>l’obligation de paiement</w:t>
            </w:r>
            <w:r w:rsidR="00697D23" w:rsidRPr="00697D23">
              <w:rPr>
                <w:lang w:val="fr-CA"/>
              </w:rPr>
              <w:t xml:space="preserve"> </w:t>
            </w:r>
            <w:r w:rsidR="00697D23" w:rsidRPr="00697D23">
              <w:rPr>
                <w:rFonts w:ascii="Calibri" w:eastAsia="Times New Roman" w:hAnsi="Calibri" w:cs="Times New Roman"/>
                <w:b/>
                <w:i/>
                <w:color w:val="000000"/>
                <w:lang w:val="fr-CA"/>
              </w:rPr>
              <w:t>réelle</w:t>
            </w:r>
            <w:r>
              <w:rPr>
                <w:rFonts w:ascii="Calibri" w:eastAsia="Times New Roman" w:hAnsi="Calibri" w:cs="Times New Roman"/>
                <w:b/>
                <w:i/>
                <w:color w:val="000000"/>
                <w:lang w:val="fr-CA"/>
              </w:rPr>
              <w:t xml:space="preserve"> sur plusieurs jours</w:t>
            </w:r>
          </w:p>
          <w:p w14:paraId="36014005" w14:textId="77777777" w:rsidR="00697D23" w:rsidRDefault="00697D23" w:rsidP="00D669A2">
            <w:pPr>
              <w:spacing w:line="240" w:lineRule="auto"/>
              <w:jc w:val="both"/>
              <w:rPr>
                <w:rFonts w:ascii="Calibri" w:eastAsia="Times New Roman" w:hAnsi="Calibri" w:cs="Times New Roman"/>
                <w:b/>
                <w:i/>
                <w:color w:val="000000"/>
                <w:lang w:val="fr-CA"/>
              </w:rPr>
            </w:pPr>
          </w:p>
          <w:p w14:paraId="6901CA38" w14:textId="036C6B31" w:rsidR="00697D23" w:rsidRPr="00500CFC" w:rsidRDefault="00EF4814" w:rsidP="00D669A2">
            <w:pPr>
              <w:spacing w:line="240" w:lineRule="auto"/>
              <w:jc w:val="both"/>
              <w:rPr>
                <w:rFonts w:ascii="Calibri" w:eastAsia="Times New Roman" w:hAnsi="Calibri" w:cs="Times New Roman"/>
                <w:b/>
                <w:i/>
                <w:color w:val="000000"/>
                <w:lang w:val="fr-CA"/>
              </w:rPr>
            </w:pPr>
            <w:r>
              <w:rPr>
                <w:rFonts w:ascii="Calibri" w:eastAsia="Times New Roman" w:hAnsi="Calibri" w:cs="Times New Roman"/>
                <w:color w:val="000000"/>
                <w:lang w:val="fr-CA"/>
              </w:rPr>
              <w:t>L’information</w:t>
            </w:r>
            <w:r w:rsidRPr="001B0831">
              <w:rPr>
                <w:rFonts w:ascii="Calibri" w:eastAsia="Times New Roman" w:hAnsi="Calibri" w:cs="Times New Roman"/>
                <w:color w:val="000000"/>
                <w:lang w:val="fr-CA"/>
              </w:rPr>
              <w:t xml:space="preserve"> présentée </w:t>
            </w:r>
            <w:r>
              <w:rPr>
                <w:rFonts w:ascii="Calibri" w:eastAsia="Times New Roman" w:hAnsi="Calibri" w:cs="Times New Roman"/>
                <w:color w:val="000000"/>
                <w:lang w:val="fr-CA"/>
              </w:rPr>
              <w:t>dans ce point</w:t>
            </w:r>
            <w:r w:rsidR="00500CFC" w:rsidRPr="00500CFC">
              <w:rPr>
                <w:rFonts w:ascii="Calibri" w:eastAsia="Times New Roman" w:hAnsi="Calibri" w:cs="Times New Roman"/>
                <w:b/>
                <w:i/>
                <w:color w:val="000000"/>
                <w:lang w:val="fr-CA"/>
              </w:rPr>
              <w:t xml:space="preserve"> </w:t>
            </w:r>
            <w:r w:rsidRPr="00500CFC">
              <w:rPr>
                <w:rFonts w:ascii="Calibri" w:eastAsia="Times New Roman" w:hAnsi="Calibri" w:cs="Times New Roman"/>
                <w:color w:val="000000"/>
                <w:lang w:val="fr-CA"/>
              </w:rPr>
              <w:t>re</w:t>
            </w:r>
            <w:r>
              <w:rPr>
                <w:rFonts w:ascii="Calibri" w:eastAsia="Times New Roman" w:hAnsi="Calibri" w:cs="Times New Roman"/>
                <w:color w:val="000000"/>
                <w:lang w:val="fr-CA"/>
              </w:rPr>
              <w:t>présente</w:t>
            </w:r>
            <w:r w:rsidR="00500CFC" w:rsidRPr="00500CFC">
              <w:rPr>
                <w:rFonts w:ascii="Calibri" w:eastAsia="Times New Roman" w:hAnsi="Calibri" w:cs="Times New Roman"/>
                <w:color w:val="000000"/>
                <w:lang w:val="fr-CA"/>
              </w:rPr>
              <w:t xml:space="preserve"> l</w:t>
            </w:r>
            <w:r w:rsidR="00500CFC">
              <w:rPr>
                <w:rFonts w:ascii="Calibri" w:eastAsia="Times New Roman" w:hAnsi="Calibri" w:cs="Times New Roman"/>
                <w:color w:val="000000"/>
                <w:lang w:val="fr-CA"/>
              </w:rPr>
              <w:t>’estimation de l’</w:t>
            </w:r>
            <w:r w:rsidR="00500CFC" w:rsidRPr="001C0132">
              <w:rPr>
                <w:rFonts w:ascii="Calibri" w:eastAsia="Times New Roman" w:hAnsi="Calibri" w:cs="Times New Roman"/>
                <w:color w:val="000000"/>
                <w:lang w:val="fr-CA"/>
              </w:rPr>
              <w:t xml:space="preserve">obligation </w:t>
            </w:r>
            <w:r w:rsidR="00500CFC">
              <w:rPr>
                <w:rFonts w:ascii="Calibri" w:eastAsia="Times New Roman" w:hAnsi="Calibri" w:cs="Times New Roman"/>
                <w:color w:val="000000"/>
                <w:lang w:val="fr-CA"/>
              </w:rPr>
              <w:t>de paiement la plus importante observée au courant de l’année dernière.</w:t>
            </w:r>
          </w:p>
          <w:p w14:paraId="5C010E57" w14:textId="71DFB958" w:rsidR="00D669A2" w:rsidRPr="00500CFC" w:rsidRDefault="00D669A2" w:rsidP="00D669A2">
            <w:pPr>
              <w:spacing w:line="240" w:lineRule="auto"/>
              <w:jc w:val="both"/>
              <w:rPr>
                <w:rFonts w:ascii="Calibri" w:eastAsia="Times New Roman" w:hAnsi="Calibri" w:cs="Times New Roman"/>
                <w:lang w:val="fr-CA"/>
              </w:rPr>
            </w:pPr>
          </w:p>
        </w:tc>
      </w:tr>
      <w:tr w:rsidR="001B0831" w:rsidRPr="00FF5E27" w14:paraId="7D71021C" w14:textId="77777777" w:rsidTr="00F91608">
        <w:trPr>
          <w:trHeight w:val="1532"/>
        </w:trPr>
        <w:tc>
          <w:tcPr>
            <w:tcW w:w="1305" w:type="dxa"/>
            <w:tcBorders>
              <w:top w:val="single" w:sz="4" w:space="0" w:color="auto"/>
              <w:left w:val="single" w:sz="4" w:space="0" w:color="auto"/>
              <w:bottom w:val="single" w:sz="4" w:space="0" w:color="auto"/>
              <w:right w:val="single" w:sz="4" w:space="0" w:color="auto"/>
            </w:tcBorders>
            <w:noWrap/>
            <w:vAlign w:val="center"/>
          </w:tcPr>
          <w:p w14:paraId="3AC856DC" w14:textId="736AD4EB" w:rsidR="001B0831" w:rsidRPr="001C0132" w:rsidRDefault="001B0831" w:rsidP="006B76A4">
            <w:pPr>
              <w:spacing w:line="240" w:lineRule="auto"/>
              <w:jc w:val="center"/>
              <w:rPr>
                <w:rFonts w:ascii="Calibri" w:eastAsia="Times New Roman" w:hAnsi="Calibri" w:cs="Times New Roman"/>
                <w:color w:val="000000"/>
                <w:lang w:val="fr-CA"/>
              </w:rPr>
            </w:pPr>
            <w:r>
              <w:rPr>
                <w:rFonts w:ascii="Calibri" w:eastAsia="Times New Roman" w:hAnsi="Calibri" w:cs="Times New Roman"/>
                <w:color w:val="000000"/>
                <w:lang w:val="fr-CA"/>
              </w:rPr>
              <w:lastRenderedPageBreak/>
              <w:t>15</w:t>
            </w:r>
          </w:p>
        </w:tc>
        <w:tc>
          <w:tcPr>
            <w:tcW w:w="7767" w:type="dxa"/>
            <w:tcBorders>
              <w:top w:val="single" w:sz="4" w:space="0" w:color="auto"/>
              <w:left w:val="single" w:sz="4" w:space="0" w:color="auto"/>
              <w:bottom w:val="single" w:sz="4" w:space="0" w:color="auto"/>
              <w:right w:val="single" w:sz="4" w:space="0" w:color="auto"/>
            </w:tcBorders>
            <w:vAlign w:val="center"/>
          </w:tcPr>
          <w:p w14:paraId="7F0F802F" w14:textId="31377879" w:rsidR="001B0831" w:rsidRPr="001B0831" w:rsidRDefault="001B0831" w:rsidP="001B0831">
            <w:pPr>
              <w:spacing w:line="240" w:lineRule="auto"/>
              <w:rPr>
                <w:rFonts w:ascii="Calibri" w:eastAsia="Times New Roman" w:hAnsi="Calibri" w:cs="Times New Roman"/>
                <w:b/>
                <w:i/>
                <w:color w:val="000000"/>
                <w:lang w:val="fr-CA"/>
              </w:rPr>
            </w:pPr>
            <w:r w:rsidRPr="001B0831">
              <w:rPr>
                <w:rFonts w:ascii="Calibri" w:eastAsia="Times New Roman" w:hAnsi="Calibri" w:cs="Times New Roman"/>
                <w:b/>
                <w:i/>
                <w:color w:val="000000"/>
                <w:lang w:val="fr-CA"/>
              </w:rPr>
              <w:t>15. Risque d’affaire général</w:t>
            </w:r>
          </w:p>
          <w:p w14:paraId="7C67940E" w14:textId="77777777" w:rsidR="001B0831" w:rsidRDefault="001B0831" w:rsidP="00F91608">
            <w:pPr>
              <w:spacing w:line="240" w:lineRule="auto"/>
              <w:rPr>
                <w:rFonts w:ascii="Calibri" w:eastAsia="Times New Roman" w:hAnsi="Calibri" w:cs="Times New Roman"/>
                <w:color w:val="000000"/>
                <w:lang w:val="fr-CA"/>
              </w:rPr>
            </w:pPr>
          </w:p>
          <w:p w14:paraId="32B8FA8F" w14:textId="1F01948F" w:rsidR="001B0831" w:rsidRPr="001B0831" w:rsidRDefault="001B0831" w:rsidP="00860C13">
            <w:pPr>
              <w:spacing w:line="240" w:lineRule="auto"/>
              <w:rPr>
                <w:rFonts w:ascii="Calibri" w:eastAsia="Times New Roman" w:hAnsi="Calibri" w:cs="Times New Roman"/>
                <w:color w:val="000000"/>
                <w:lang w:val="fr-CA"/>
              </w:rPr>
            </w:pPr>
            <w:r w:rsidRPr="001B0831">
              <w:rPr>
                <w:rFonts w:ascii="Calibri" w:eastAsia="Times New Roman" w:hAnsi="Calibri" w:cs="Times New Roman"/>
                <w:color w:val="000000"/>
                <w:lang w:val="fr-CA"/>
              </w:rPr>
              <w:t xml:space="preserve">Les informations financières présentées </w:t>
            </w:r>
            <w:r>
              <w:rPr>
                <w:rFonts w:ascii="Calibri" w:eastAsia="Times New Roman" w:hAnsi="Calibri" w:cs="Times New Roman"/>
                <w:color w:val="000000"/>
                <w:lang w:val="fr-CA"/>
              </w:rPr>
              <w:t>dans les points</w:t>
            </w:r>
            <w:r w:rsidRPr="001B0831">
              <w:rPr>
                <w:rFonts w:ascii="Calibri" w:eastAsia="Times New Roman" w:hAnsi="Calibri" w:cs="Times New Roman"/>
                <w:color w:val="000000"/>
                <w:lang w:val="fr-CA"/>
              </w:rPr>
              <w:t xml:space="preserve"> 15.1 et 15.2 sont lié</w:t>
            </w:r>
            <w:r>
              <w:rPr>
                <w:rFonts w:ascii="Calibri" w:eastAsia="Times New Roman" w:hAnsi="Calibri" w:cs="Times New Roman"/>
                <w:color w:val="000000"/>
                <w:lang w:val="fr-CA"/>
              </w:rPr>
              <w:t>e</w:t>
            </w:r>
            <w:r w:rsidRPr="001B0831">
              <w:rPr>
                <w:rFonts w:ascii="Calibri" w:eastAsia="Times New Roman" w:hAnsi="Calibri" w:cs="Times New Roman"/>
                <w:color w:val="000000"/>
                <w:lang w:val="fr-CA"/>
              </w:rPr>
              <w:t xml:space="preserve">s à l'exercice clos </w:t>
            </w:r>
            <w:r w:rsidR="00226D3D">
              <w:rPr>
                <w:rFonts w:ascii="Calibri" w:eastAsia="Times New Roman" w:hAnsi="Calibri" w:cs="Times New Roman"/>
                <w:color w:val="000000"/>
                <w:lang w:val="fr-CA"/>
              </w:rPr>
              <w:t xml:space="preserve">le </w:t>
            </w:r>
            <w:r w:rsidR="00102C84">
              <w:rPr>
                <w:rFonts w:ascii="Calibri" w:eastAsia="Times New Roman" w:hAnsi="Calibri" w:cs="Times New Roman"/>
                <w:color w:val="000000"/>
                <w:lang w:val="fr-CA"/>
              </w:rPr>
              <w:t>31</w:t>
            </w:r>
            <w:r w:rsidR="00226D3D">
              <w:rPr>
                <w:rFonts w:ascii="Calibri" w:eastAsia="Times New Roman" w:hAnsi="Calibri" w:cs="Times New Roman"/>
                <w:color w:val="000000"/>
                <w:lang w:val="fr-CA"/>
              </w:rPr>
              <w:t xml:space="preserve"> Décembre 20</w:t>
            </w:r>
            <w:r w:rsidR="00E71653">
              <w:rPr>
                <w:rFonts w:ascii="Calibri" w:eastAsia="Times New Roman" w:hAnsi="Calibri" w:cs="Times New Roman"/>
                <w:color w:val="000000"/>
                <w:lang w:val="fr-CA"/>
              </w:rPr>
              <w:t>2</w:t>
            </w:r>
            <w:r w:rsidR="00102C84">
              <w:rPr>
                <w:rFonts w:ascii="Calibri" w:eastAsia="Times New Roman" w:hAnsi="Calibri" w:cs="Times New Roman"/>
                <w:color w:val="000000"/>
                <w:lang w:val="fr-CA"/>
              </w:rPr>
              <w:t>4</w:t>
            </w:r>
            <w:r w:rsidRPr="001B0831">
              <w:rPr>
                <w:rFonts w:ascii="Calibri" w:eastAsia="Times New Roman" w:hAnsi="Calibri" w:cs="Times New Roman"/>
                <w:color w:val="000000"/>
                <w:lang w:val="fr-CA"/>
              </w:rPr>
              <w:t>.</w:t>
            </w:r>
          </w:p>
        </w:tc>
      </w:tr>
      <w:tr w:rsidR="00F91608" w:rsidRPr="00FF5E27" w14:paraId="162CEF2C" w14:textId="77777777" w:rsidTr="00F91608">
        <w:trPr>
          <w:trHeight w:val="1532"/>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6AF97605" w14:textId="5D6355AB" w:rsidR="00F91608" w:rsidRPr="001C0132" w:rsidRDefault="00F91608"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16</w:t>
            </w:r>
          </w:p>
        </w:tc>
        <w:tc>
          <w:tcPr>
            <w:tcW w:w="7767" w:type="dxa"/>
            <w:tcBorders>
              <w:top w:val="single" w:sz="4" w:space="0" w:color="auto"/>
              <w:left w:val="single" w:sz="4" w:space="0" w:color="auto"/>
              <w:bottom w:val="single" w:sz="4" w:space="0" w:color="auto"/>
              <w:right w:val="single" w:sz="4" w:space="0" w:color="auto"/>
            </w:tcBorders>
            <w:vAlign w:val="center"/>
          </w:tcPr>
          <w:p w14:paraId="46DA7808" w14:textId="77777777" w:rsidR="00F91608" w:rsidRPr="001C0132" w:rsidRDefault="00F91608" w:rsidP="00F91608">
            <w:pPr>
              <w:spacing w:line="240" w:lineRule="auto"/>
              <w:rPr>
                <w:rFonts w:ascii="Calibri" w:eastAsia="Times New Roman" w:hAnsi="Calibri" w:cs="Times New Roman"/>
                <w:color w:val="000000"/>
                <w:lang w:val="fr-CA"/>
              </w:rPr>
            </w:pPr>
          </w:p>
          <w:p w14:paraId="463BAEDC" w14:textId="77777777" w:rsidR="00F91608" w:rsidRPr="001C0132" w:rsidRDefault="00F91608" w:rsidP="00F91608">
            <w:pPr>
              <w:spacing w:line="240" w:lineRule="auto"/>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16.3.</w:t>
            </w:r>
            <w:r w:rsidRPr="001C0132">
              <w:rPr>
                <w:b/>
                <w:i/>
                <w:lang w:val="fr-CA"/>
              </w:rPr>
              <w:t xml:space="preserve"> </w:t>
            </w:r>
            <w:bookmarkStart w:id="42" w:name="lt_pId083"/>
            <w:r>
              <w:rPr>
                <w:rFonts w:ascii="Calibri" w:eastAsia="Times New Roman" w:hAnsi="Calibri" w:cs="Times New Roman"/>
                <w:b/>
                <w:i/>
                <w:color w:val="000000"/>
                <w:lang w:val="fr-CA"/>
              </w:rPr>
              <w:t xml:space="preserve">Reconstitution d’hypothèque </w:t>
            </w:r>
            <w:r w:rsidRPr="00C92937">
              <w:rPr>
                <w:rFonts w:ascii="Calibri" w:eastAsia="Times New Roman" w:hAnsi="Calibri" w:cs="Times New Roman"/>
                <w:b/>
                <w:i/>
                <w:color w:val="000000"/>
                <w:lang w:val="fr-CA"/>
              </w:rPr>
              <w:t>d</w:t>
            </w:r>
            <w:r>
              <w:rPr>
                <w:rFonts w:ascii="Calibri" w:eastAsia="Times New Roman" w:hAnsi="Calibri" w:cs="Times New Roman"/>
                <w:b/>
                <w:i/>
                <w:color w:val="000000"/>
                <w:lang w:val="fr-CA"/>
              </w:rPr>
              <w:t xml:space="preserve">es </w:t>
            </w:r>
            <w:r w:rsidRPr="00C92937">
              <w:rPr>
                <w:rFonts w:ascii="Calibri" w:eastAsia="Times New Roman" w:hAnsi="Calibri" w:cs="Times New Roman"/>
                <w:b/>
                <w:i/>
                <w:color w:val="000000"/>
                <w:lang w:val="fr-CA"/>
              </w:rPr>
              <w:t>actifs de membres compensateurs</w:t>
            </w:r>
            <w:bookmarkEnd w:id="42"/>
          </w:p>
          <w:p w14:paraId="7AB01399" w14:textId="77777777" w:rsidR="00F91608" w:rsidRPr="001C0132" w:rsidRDefault="00F91608" w:rsidP="00F91608">
            <w:pPr>
              <w:spacing w:line="240" w:lineRule="auto"/>
              <w:rPr>
                <w:rFonts w:ascii="Calibri" w:eastAsia="Times New Roman" w:hAnsi="Calibri" w:cs="Times New Roman"/>
                <w:color w:val="000000"/>
                <w:lang w:val="fr-CA"/>
              </w:rPr>
            </w:pPr>
          </w:p>
          <w:p w14:paraId="4FECC114" w14:textId="77777777" w:rsidR="00F91608" w:rsidRDefault="00F91608" w:rsidP="00F91608">
            <w:pPr>
              <w:spacing w:line="240" w:lineRule="auto"/>
              <w:rPr>
                <w:rFonts w:ascii="Calibri" w:eastAsia="Times New Roman" w:hAnsi="Calibri" w:cs="Times New Roman"/>
                <w:color w:val="000000"/>
                <w:lang w:val="fr-CA"/>
              </w:rPr>
            </w:pPr>
            <w:bookmarkStart w:id="43" w:name="lt_pId084"/>
            <w:r>
              <w:rPr>
                <w:rFonts w:ascii="Calibri" w:eastAsia="Times New Roman" w:hAnsi="Calibri" w:cs="Times New Roman"/>
                <w:color w:val="000000"/>
                <w:lang w:val="fr-CA"/>
              </w:rPr>
              <w:t>Seuls les actifs au fonds de compensation peuvent faire l’objet d’une reconstitution d’hypothèque</w:t>
            </w:r>
            <w:r w:rsidRPr="001C0132">
              <w:rPr>
                <w:rFonts w:ascii="Calibri" w:eastAsia="Times New Roman" w:hAnsi="Calibri" w:cs="Times New Roman"/>
                <w:color w:val="000000"/>
                <w:lang w:val="fr-CA"/>
              </w:rPr>
              <w:t>.</w:t>
            </w:r>
            <w:bookmarkEnd w:id="43"/>
          </w:p>
          <w:p w14:paraId="4D56CE16" w14:textId="77777777" w:rsidR="00F91608" w:rsidRPr="001C0132" w:rsidRDefault="00F91608" w:rsidP="006B76A4">
            <w:pPr>
              <w:spacing w:line="240" w:lineRule="auto"/>
              <w:rPr>
                <w:rFonts w:ascii="Calibri" w:eastAsia="Times New Roman" w:hAnsi="Calibri" w:cs="Times New Roman"/>
                <w:color w:val="000000"/>
                <w:lang w:val="fr-CA"/>
              </w:rPr>
            </w:pPr>
          </w:p>
        </w:tc>
      </w:tr>
      <w:tr w:rsidR="00F91608" w:rsidRPr="00FF5E27" w14:paraId="33CAD5F2"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54E021E8" w14:textId="54803A72" w:rsidR="00F91608" w:rsidRPr="001C0132" w:rsidRDefault="00F91608" w:rsidP="00F91608">
            <w:pPr>
              <w:spacing w:line="240" w:lineRule="auto"/>
              <w:jc w:val="center"/>
              <w:rPr>
                <w:rFonts w:ascii="Calibri" w:eastAsia="Times New Roman" w:hAnsi="Calibri" w:cs="Times New Roman"/>
                <w:color w:val="000000"/>
                <w:lang w:val="fr-CA"/>
              </w:rPr>
            </w:pPr>
            <w:r w:rsidRPr="002072E2">
              <w:rPr>
                <w:rFonts w:ascii="Calibri" w:eastAsia="Times New Roman" w:hAnsi="Calibri" w:cs="Times New Roman"/>
                <w:color w:val="000000"/>
                <w:lang w:val="fr-CA"/>
              </w:rPr>
              <w:t>17</w:t>
            </w:r>
          </w:p>
        </w:tc>
        <w:tc>
          <w:tcPr>
            <w:tcW w:w="7767" w:type="dxa"/>
            <w:tcBorders>
              <w:top w:val="single" w:sz="4" w:space="0" w:color="auto"/>
              <w:left w:val="single" w:sz="4" w:space="0" w:color="auto"/>
              <w:bottom w:val="single" w:sz="4" w:space="0" w:color="auto"/>
              <w:right w:val="single" w:sz="4" w:space="0" w:color="auto"/>
            </w:tcBorders>
            <w:vAlign w:val="center"/>
          </w:tcPr>
          <w:p w14:paraId="564F0633" w14:textId="77777777" w:rsidR="00F91608" w:rsidRPr="001C0132" w:rsidRDefault="00F91608" w:rsidP="00F91608">
            <w:pPr>
              <w:pStyle w:val="ListParagraph"/>
              <w:spacing w:line="276" w:lineRule="auto"/>
              <w:ind w:left="0"/>
              <w:rPr>
                <w:b/>
                <w:i/>
                <w:color w:val="000000"/>
                <w:lang w:eastAsia="en-US"/>
              </w:rPr>
            </w:pPr>
          </w:p>
          <w:p w14:paraId="30ADA3C0" w14:textId="77777777" w:rsidR="00F91608" w:rsidRPr="001C0132" w:rsidRDefault="00F91608" w:rsidP="00F91608">
            <w:pPr>
              <w:pStyle w:val="ListParagraph"/>
              <w:spacing w:line="276" w:lineRule="auto"/>
              <w:ind w:left="0"/>
              <w:rPr>
                <w:b/>
                <w:i/>
                <w:color w:val="000000"/>
                <w:lang w:eastAsia="en-US"/>
              </w:rPr>
            </w:pPr>
            <w:r w:rsidRPr="001C0132">
              <w:rPr>
                <w:b/>
                <w:i/>
                <w:color w:val="000000"/>
                <w:lang w:eastAsia="en-US"/>
              </w:rPr>
              <w:t xml:space="preserve">17.2. </w:t>
            </w:r>
            <w:r>
              <w:rPr>
                <w:b/>
                <w:i/>
                <w:color w:val="000000"/>
                <w:lang w:eastAsia="en-US"/>
              </w:rPr>
              <w:t>Disponibilité réelle des systèmes centraux au cours de la période de douze moins précédente</w:t>
            </w:r>
            <w:r w:rsidRPr="001C0132">
              <w:rPr>
                <w:b/>
                <w:i/>
                <w:color w:val="000000"/>
                <w:lang w:eastAsia="en-US"/>
              </w:rPr>
              <w:t>.</w:t>
            </w:r>
          </w:p>
          <w:p w14:paraId="106FD2B2" w14:textId="77777777" w:rsidR="00F91608" w:rsidRPr="001C0132" w:rsidRDefault="00F91608" w:rsidP="00F91608">
            <w:pPr>
              <w:pStyle w:val="ListParagraph"/>
              <w:spacing w:line="276" w:lineRule="auto"/>
              <w:ind w:left="0"/>
              <w:rPr>
                <w:lang w:eastAsia="en-US"/>
              </w:rPr>
            </w:pPr>
          </w:p>
          <w:p w14:paraId="2CF2B741" w14:textId="77777777" w:rsidR="00F91608" w:rsidRPr="001C0132" w:rsidRDefault="00F91608" w:rsidP="00F91608">
            <w:pPr>
              <w:pStyle w:val="ListParagraph"/>
              <w:spacing w:line="276" w:lineRule="auto"/>
              <w:ind w:left="0"/>
              <w:rPr>
                <w:lang w:eastAsia="en-US"/>
              </w:rPr>
            </w:pPr>
            <w:r>
              <w:rPr>
                <w:lang w:eastAsia="en-US"/>
              </w:rPr>
              <w:t>Définition de « système principal » de la CDCC </w:t>
            </w:r>
            <w:r w:rsidRPr="001C0132">
              <w:rPr>
                <w:lang w:eastAsia="en-US"/>
              </w:rPr>
              <w:t xml:space="preserve">: </w:t>
            </w:r>
          </w:p>
          <w:p w14:paraId="766D021D" w14:textId="77777777" w:rsidR="00F91608" w:rsidRPr="001C0132" w:rsidRDefault="00F91608" w:rsidP="00F91608">
            <w:pPr>
              <w:pStyle w:val="ListParagraph"/>
              <w:spacing w:line="276" w:lineRule="auto"/>
              <w:ind w:left="0"/>
              <w:jc w:val="both"/>
              <w:rPr>
                <w:bCs/>
                <w:lang w:eastAsia="en-US"/>
              </w:rPr>
            </w:pPr>
            <w:r>
              <w:rPr>
                <w:bCs/>
                <w:lang w:eastAsia="en-US"/>
              </w:rPr>
              <w:t>La </w:t>
            </w:r>
            <w:r w:rsidRPr="001C0132">
              <w:rPr>
                <w:bCs/>
                <w:lang w:eastAsia="en-US"/>
              </w:rPr>
              <w:t xml:space="preserve">CDCC </w:t>
            </w:r>
            <w:r>
              <w:rPr>
                <w:bCs/>
                <w:lang w:eastAsia="en-US"/>
              </w:rPr>
              <w:t>considère le service canadien de compensation de produits dérivés consacré aux activités quotidiennes de compensation et de règlement comme son système central</w:t>
            </w:r>
            <w:r w:rsidRPr="001C0132">
              <w:rPr>
                <w:bCs/>
                <w:lang w:eastAsia="en-US"/>
              </w:rPr>
              <w:t>.</w:t>
            </w:r>
          </w:p>
          <w:p w14:paraId="4EF71A01" w14:textId="77777777" w:rsidR="00F91608" w:rsidRPr="001C0132" w:rsidRDefault="00F91608" w:rsidP="00F91608">
            <w:pPr>
              <w:spacing w:line="240" w:lineRule="auto"/>
              <w:rPr>
                <w:rFonts w:ascii="Calibri" w:eastAsia="Times New Roman" w:hAnsi="Calibri" w:cs="Times New Roman"/>
                <w:color w:val="000000"/>
                <w:lang w:val="fr-CA"/>
              </w:rPr>
            </w:pPr>
          </w:p>
          <w:p w14:paraId="78AD81C9" w14:textId="77777777" w:rsidR="00F91608" w:rsidRPr="001C0132" w:rsidRDefault="00F91608" w:rsidP="00F91608">
            <w:pPr>
              <w:pStyle w:val="ListParagraph"/>
              <w:spacing w:line="276" w:lineRule="auto"/>
              <w:ind w:left="0"/>
              <w:rPr>
                <w:b/>
                <w:i/>
                <w:color w:val="000000"/>
                <w:lang w:eastAsia="en-US"/>
              </w:rPr>
            </w:pPr>
            <w:r w:rsidRPr="001C0132">
              <w:rPr>
                <w:b/>
                <w:i/>
                <w:color w:val="000000"/>
                <w:lang w:eastAsia="en-US"/>
              </w:rPr>
              <w:t xml:space="preserve">17.3. </w:t>
            </w:r>
            <w:r>
              <w:rPr>
                <w:b/>
                <w:i/>
                <w:color w:val="000000"/>
                <w:lang w:eastAsia="en-US"/>
              </w:rPr>
              <w:t xml:space="preserve">Nombre total et durée de pannes de systèmes centraux utilisés pour la compensation au cours de la période de </w:t>
            </w:r>
            <w:proofErr w:type="gramStart"/>
            <w:r>
              <w:rPr>
                <w:b/>
                <w:i/>
                <w:color w:val="000000"/>
                <w:lang w:eastAsia="en-US"/>
              </w:rPr>
              <w:t>douze mois précédente</w:t>
            </w:r>
            <w:proofErr w:type="gramEnd"/>
          </w:p>
          <w:p w14:paraId="3358EBAA" w14:textId="77777777" w:rsidR="00F91608" w:rsidRPr="001C0132" w:rsidRDefault="00F91608" w:rsidP="00F91608">
            <w:pPr>
              <w:pStyle w:val="ListParagraph"/>
              <w:spacing w:line="276" w:lineRule="auto"/>
              <w:ind w:left="0"/>
              <w:rPr>
                <w:b/>
                <w:i/>
                <w:color w:val="000000"/>
                <w:lang w:eastAsia="en-US"/>
              </w:rPr>
            </w:pPr>
          </w:p>
          <w:p w14:paraId="7555A51B" w14:textId="77777777" w:rsidR="00F91608" w:rsidRPr="001C0132" w:rsidRDefault="00F91608" w:rsidP="00F91608">
            <w:pPr>
              <w:rPr>
                <w:lang w:val="fr-CA"/>
              </w:rPr>
            </w:pPr>
            <w:r>
              <w:rPr>
                <w:lang w:val="fr-CA"/>
              </w:rPr>
              <w:t>Définition de « panne de système » de la CDCC :</w:t>
            </w:r>
          </w:p>
          <w:p w14:paraId="71AC0088" w14:textId="77777777" w:rsidR="00F91608" w:rsidRPr="001C0132" w:rsidRDefault="00F91608" w:rsidP="00F91608">
            <w:pPr>
              <w:jc w:val="both"/>
              <w:rPr>
                <w:bCs/>
                <w:lang w:val="fr-CA"/>
              </w:rPr>
            </w:pPr>
            <w:r>
              <w:rPr>
                <w:bCs/>
                <w:lang w:val="fr-CA"/>
              </w:rPr>
              <w:t xml:space="preserve">Toute interruption du « système central » de la CDCC dépassant l’objectif de délai de reprise de deux </w:t>
            </w:r>
            <w:r w:rsidRPr="001C0132">
              <w:rPr>
                <w:bCs/>
                <w:lang w:val="fr-CA"/>
              </w:rPr>
              <w:t xml:space="preserve">(2) </w:t>
            </w:r>
            <w:r>
              <w:rPr>
                <w:bCs/>
                <w:lang w:val="fr-CA"/>
              </w:rPr>
              <w:t xml:space="preserve">heures touchant les processus d’affaires clés pendant une </w:t>
            </w:r>
            <w:r>
              <w:rPr>
                <w:bCs/>
                <w:lang w:val="fr-CA"/>
              </w:rPr>
              <w:lastRenderedPageBreak/>
              <w:t>période critique où aucune solution de rechange n’est disponible pour répondre aux besoins</w:t>
            </w:r>
            <w:r w:rsidRPr="001C0132">
              <w:rPr>
                <w:bCs/>
                <w:lang w:val="fr-CA"/>
              </w:rPr>
              <w:t xml:space="preserve">, </w:t>
            </w:r>
            <w:r>
              <w:rPr>
                <w:bCs/>
                <w:lang w:val="fr-CA"/>
              </w:rPr>
              <w:t>ayant ainsi une incidence importante sur les membres compensateurs</w:t>
            </w:r>
            <w:r w:rsidRPr="001C0132">
              <w:rPr>
                <w:bCs/>
                <w:lang w:val="fr-CA"/>
              </w:rPr>
              <w:t>.</w:t>
            </w:r>
          </w:p>
          <w:p w14:paraId="62355A01" w14:textId="1BEEEBDB" w:rsidR="00F91608" w:rsidRPr="001C0132" w:rsidRDefault="00F91608" w:rsidP="00F91608">
            <w:pPr>
              <w:spacing w:line="240" w:lineRule="auto"/>
              <w:rPr>
                <w:rFonts w:ascii="Calibri" w:eastAsia="Times New Roman" w:hAnsi="Calibri" w:cs="Times New Roman"/>
                <w:color w:val="000000"/>
                <w:lang w:val="fr-CA"/>
              </w:rPr>
            </w:pPr>
          </w:p>
        </w:tc>
      </w:tr>
      <w:tr w:rsidR="00F20321" w:rsidRPr="00FF5E27" w14:paraId="29E90D26"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337EF33D" w14:textId="52CA0B1A" w:rsidR="00F20321" w:rsidRPr="001C0132" w:rsidRDefault="00F20321" w:rsidP="00F20321">
            <w:pPr>
              <w:spacing w:line="240" w:lineRule="auto"/>
              <w:jc w:val="center"/>
              <w:rPr>
                <w:rFonts w:ascii="Calibri" w:eastAsia="Times New Roman" w:hAnsi="Calibri" w:cs="Times New Roman"/>
                <w:color w:val="000000"/>
                <w:lang w:val="fr-CA"/>
              </w:rPr>
            </w:pPr>
            <w:r>
              <w:rPr>
                <w:rFonts w:ascii="Calibri" w:eastAsia="Times New Roman" w:hAnsi="Calibri" w:cs="Times New Roman"/>
                <w:color w:val="000000"/>
                <w:lang w:val="fr-CA"/>
              </w:rPr>
              <w:lastRenderedPageBreak/>
              <w:t>18</w:t>
            </w:r>
          </w:p>
        </w:tc>
        <w:tc>
          <w:tcPr>
            <w:tcW w:w="7767" w:type="dxa"/>
            <w:tcBorders>
              <w:top w:val="single" w:sz="4" w:space="0" w:color="auto"/>
              <w:left w:val="single" w:sz="4" w:space="0" w:color="auto"/>
              <w:bottom w:val="single" w:sz="4" w:space="0" w:color="auto"/>
              <w:right w:val="single" w:sz="4" w:space="0" w:color="auto"/>
            </w:tcBorders>
            <w:vAlign w:val="center"/>
          </w:tcPr>
          <w:p w14:paraId="2A0BA272" w14:textId="77777777" w:rsidR="00083C22" w:rsidRPr="00636A2D" w:rsidRDefault="00083C22" w:rsidP="00F20321">
            <w:pPr>
              <w:pStyle w:val="ListParagraph"/>
              <w:ind w:left="0"/>
              <w:rPr>
                <w:b/>
                <w:i/>
                <w:color w:val="000000"/>
              </w:rPr>
            </w:pPr>
          </w:p>
          <w:p w14:paraId="230389F5" w14:textId="627E8044" w:rsidR="00F20321" w:rsidRPr="00083C22" w:rsidRDefault="00F20321" w:rsidP="00F20321">
            <w:pPr>
              <w:pStyle w:val="ListParagraph"/>
              <w:ind w:left="0"/>
              <w:rPr>
                <w:b/>
                <w:i/>
                <w:color w:val="000000"/>
                <w:lang w:val="fr-FR"/>
              </w:rPr>
            </w:pPr>
            <w:r w:rsidRPr="00083C22">
              <w:rPr>
                <w:b/>
                <w:i/>
                <w:color w:val="000000"/>
                <w:lang w:val="fr-FR"/>
              </w:rPr>
              <w:t>18.1 : Nombre de membres compensateurs, par service de compensation et par catégorie de membres</w:t>
            </w:r>
          </w:p>
          <w:p w14:paraId="59D03F71" w14:textId="77777777" w:rsidR="00F20321" w:rsidRPr="00083C22" w:rsidRDefault="00F20321" w:rsidP="00F20321">
            <w:pPr>
              <w:pStyle w:val="ListParagraph"/>
              <w:ind w:left="0"/>
              <w:rPr>
                <w:b/>
                <w:i/>
                <w:color w:val="000000"/>
                <w:lang w:val="fr-FR"/>
              </w:rPr>
            </w:pPr>
          </w:p>
          <w:p w14:paraId="251EA632" w14:textId="77777777" w:rsidR="00F20321" w:rsidRPr="00636A2D" w:rsidRDefault="00F20321" w:rsidP="00083C22">
            <w:pPr>
              <w:pStyle w:val="ListParagraph"/>
              <w:ind w:left="720" w:hanging="360"/>
              <w:rPr>
                <w:rFonts w:cstheme="minorHAnsi"/>
              </w:rPr>
            </w:pPr>
            <w:r w:rsidRPr="00636A2D">
              <w:rPr>
                <w:b/>
                <w:i/>
                <w:color w:val="000000"/>
              </w:rPr>
              <w:t>•</w:t>
            </w:r>
            <w:r w:rsidRPr="00636A2D">
              <w:rPr>
                <w:b/>
                <w:i/>
                <w:color w:val="000000"/>
              </w:rPr>
              <w:tab/>
            </w:r>
            <w:r w:rsidRPr="00636A2D">
              <w:rPr>
                <w:rFonts w:cstheme="minorHAnsi"/>
              </w:rPr>
              <w:t>18.1.1.1 : Nombre de membres compensateurs, définis comme étant des candidats admis à titre de membres compensateurs de la Société selon les modalités prévues aux Règles de la CDCC</w:t>
            </w:r>
          </w:p>
          <w:p w14:paraId="23DAA555" w14:textId="77777777" w:rsidR="00F20321" w:rsidRPr="00636A2D" w:rsidRDefault="00F20321" w:rsidP="00083C22">
            <w:pPr>
              <w:pStyle w:val="ListParagraph"/>
              <w:ind w:left="720" w:hanging="360"/>
              <w:rPr>
                <w:rFonts w:cstheme="minorHAnsi"/>
              </w:rPr>
            </w:pPr>
          </w:p>
          <w:p w14:paraId="28463EEF" w14:textId="16056734" w:rsidR="00F20321" w:rsidRPr="00636A2D" w:rsidRDefault="00F20321" w:rsidP="00083C22">
            <w:pPr>
              <w:pStyle w:val="ListParagraph"/>
              <w:ind w:left="720" w:hanging="360"/>
              <w:rPr>
                <w:b/>
                <w:i/>
                <w:color w:val="000000"/>
              </w:rPr>
            </w:pPr>
            <w:r w:rsidRPr="00636A2D">
              <w:rPr>
                <w:rFonts w:cstheme="minorHAnsi"/>
              </w:rPr>
              <w:t>•</w:t>
            </w:r>
            <w:r w:rsidRPr="00636A2D">
              <w:rPr>
                <w:rFonts w:cstheme="minorHAnsi"/>
              </w:rPr>
              <w:tab/>
              <w:t>18.1.1.2 : Nombre de membres compensateurs à responsabilité limitée, définis comme étant des candidats admis par la Société à titre de membres compensateurs à responsabilité limitée selon les modalités prévues aux Règles de la CDCC</w:t>
            </w:r>
          </w:p>
        </w:tc>
      </w:tr>
      <w:tr w:rsidR="00F91608" w:rsidRPr="00FF5E27" w14:paraId="107FB3FD"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6C84AB2C" w14:textId="22D99BE9" w:rsidR="00F91608" w:rsidRPr="001C0132" w:rsidRDefault="00F91608" w:rsidP="00F91608">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23</w:t>
            </w:r>
          </w:p>
        </w:tc>
        <w:tc>
          <w:tcPr>
            <w:tcW w:w="7767" w:type="dxa"/>
            <w:tcBorders>
              <w:top w:val="single" w:sz="4" w:space="0" w:color="auto"/>
              <w:left w:val="single" w:sz="4" w:space="0" w:color="auto"/>
              <w:bottom w:val="single" w:sz="4" w:space="0" w:color="auto"/>
              <w:right w:val="single" w:sz="4" w:space="0" w:color="auto"/>
            </w:tcBorders>
            <w:vAlign w:val="center"/>
          </w:tcPr>
          <w:p w14:paraId="113EF1EB" w14:textId="77777777" w:rsidR="00F91608" w:rsidRPr="001C0132" w:rsidRDefault="00F91608" w:rsidP="006B76A4">
            <w:pPr>
              <w:spacing w:line="240" w:lineRule="auto"/>
              <w:rPr>
                <w:rFonts w:ascii="Calibri" w:eastAsia="Times New Roman" w:hAnsi="Calibri" w:cs="Times New Roman"/>
                <w:color w:val="000000"/>
                <w:lang w:val="fr-CA"/>
              </w:rPr>
            </w:pPr>
          </w:p>
          <w:p w14:paraId="36D387A8" w14:textId="77777777" w:rsidR="00F91608" w:rsidRPr="001C0132" w:rsidRDefault="00F91608"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23.1.</w:t>
            </w:r>
            <w:r w:rsidRPr="001C0132">
              <w:rPr>
                <w:b/>
                <w:i/>
                <w:lang w:val="fr-CA"/>
              </w:rPr>
              <w:t xml:space="preserve"> </w:t>
            </w:r>
            <w:bookmarkStart w:id="44" w:name="lt_pId087"/>
            <w:r w:rsidRPr="00055E80">
              <w:rPr>
                <w:rFonts w:ascii="Calibri" w:eastAsia="Times New Roman" w:hAnsi="Calibri" w:cs="Times New Roman"/>
                <w:b/>
                <w:i/>
                <w:color w:val="000000"/>
                <w:lang w:val="fr-CA"/>
              </w:rPr>
              <w:t>Divulgation de règles, procédures essentielles, de données de marché et de volumes moyens quotidiens</w:t>
            </w:r>
            <w:bookmarkEnd w:id="44"/>
          </w:p>
          <w:p w14:paraId="6C081637" w14:textId="77777777" w:rsidR="00F91608" w:rsidRPr="001C0132" w:rsidRDefault="00F91608" w:rsidP="006B76A4">
            <w:pPr>
              <w:spacing w:line="240" w:lineRule="auto"/>
              <w:jc w:val="both"/>
              <w:rPr>
                <w:rFonts w:ascii="Calibri" w:eastAsia="Times New Roman" w:hAnsi="Calibri" w:cs="Times New Roman"/>
                <w:b/>
                <w:color w:val="000000"/>
                <w:lang w:val="fr-CA"/>
              </w:rPr>
            </w:pPr>
          </w:p>
          <w:p w14:paraId="1D0183D1" w14:textId="77777777" w:rsidR="007055E7" w:rsidRDefault="00F91608" w:rsidP="00B26556">
            <w:pPr>
              <w:spacing w:line="240" w:lineRule="auto"/>
              <w:jc w:val="both"/>
              <w:rPr>
                <w:rFonts w:ascii="Calibri" w:eastAsia="Times New Roman" w:hAnsi="Calibri" w:cs="Times New Roman"/>
                <w:color w:val="000000"/>
                <w:lang w:val="fr-CA"/>
              </w:rPr>
            </w:pPr>
            <w:bookmarkStart w:id="45" w:name="lt_pId088"/>
            <w:r>
              <w:rPr>
                <w:rFonts w:ascii="Calibri" w:eastAsia="Times New Roman" w:hAnsi="Calibri" w:cs="Times New Roman"/>
                <w:color w:val="000000"/>
                <w:lang w:val="fr-CA"/>
              </w:rPr>
              <w:t xml:space="preserve">Les volumes et les notionnels sont comptés une seule fois </w:t>
            </w:r>
            <w:r w:rsidRPr="001C0132">
              <w:rPr>
                <w:rFonts w:ascii="Calibri" w:eastAsia="Times New Roman" w:hAnsi="Calibri" w:cs="Times New Roman"/>
                <w:color w:val="000000"/>
                <w:lang w:val="fr-CA"/>
              </w:rPr>
              <w:t>(</w:t>
            </w:r>
            <w:r>
              <w:rPr>
                <w:rFonts w:ascii="Calibri" w:eastAsia="Times New Roman" w:hAnsi="Calibri" w:cs="Times New Roman"/>
                <w:color w:val="000000"/>
                <w:lang w:val="fr-CA"/>
              </w:rPr>
              <w:t>seul un côté de l’opération est déclaré</w:t>
            </w:r>
            <w:r w:rsidRPr="001C0132">
              <w:rPr>
                <w:rFonts w:ascii="Calibri" w:eastAsia="Times New Roman" w:hAnsi="Calibri" w:cs="Times New Roman"/>
                <w:color w:val="000000"/>
                <w:lang w:val="fr-CA"/>
              </w:rPr>
              <w:t>).</w:t>
            </w:r>
            <w:bookmarkEnd w:id="45"/>
          </w:p>
          <w:p w14:paraId="38A79804" w14:textId="626991AA" w:rsidR="007A2985" w:rsidRPr="001C0132" w:rsidRDefault="007A2985" w:rsidP="007A2985">
            <w:pPr>
              <w:spacing w:line="240" w:lineRule="auto"/>
              <w:jc w:val="both"/>
              <w:rPr>
                <w:rFonts w:ascii="Calibri" w:eastAsia="Times New Roman" w:hAnsi="Calibri" w:cs="Times New Roman"/>
                <w:color w:val="000000"/>
                <w:lang w:val="fr-CA"/>
              </w:rPr>
            </w:pPr>
          </w:p>
        </w:tc>
      </w:tr>
    </w:tbl>
    <w:p w14:paraId="2C0CE4B1" w14:textId="77777777" w:rsidR="00BB54BE" w:rsidRPr="001C0132" w:rsidRDefault="00BB54BE" w:rsidP="00226D3D">
      <w:pPr>
        <w:rPr>
          <w:lang w:val="fr-CA"/>
        </w:rPr>
      </w:pPr>
    </w:p>
    <w:sectPr w:rsidR="00BB54BE" w:rsidRPr="001C0132" w:rsidSect="00226D3D">
      <w:headerReference w:type="default" r:id="rId9"/>
      <w:footerReference w:type="default" r:id="rId10"/>
      <w:pgSz w:w="12240" w:h="15840"/>
      <w:pgMar w:top="1298" w:right="1298" w:bottom="129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0F182" w14:textId="77777777" w:rsidR="005A52A1" w:rsidRDefault="005A52A1" w:rsidP="009C5A2D">
      <w:pPr>
        <w:spacing w:line="240" w:lineRule="auto"/>
      </w:pPr>
      <w:r>
        <w:separator/>
      </w:r>
    </w:p>
  </w:endnote>
  <w:endnote w:type="continuationSeparator" w:id="0">
    <w:p w14:paraId="2FBC4825" w14:textId="77777777" w:rsidR="005A52A1" w:rsidRDefault="005A52A1" w:rsidP="009C5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C5527" w14:textId="0F07EFF4" w:rsidR="00496A3D" w:rsidRDefault="00781B4B" w:rsidP="002E70BE">
    <w:pPr>
      <w:pStyle w:val="Footer"/>
      <w:tabs>
        <w:tab w:val="clear" w:pos="4320"/>
        <w:tab w:val="clear" w:pos="8640"/>
        <w:tab w:val="left" w:pos="90"/>
        <w:tab w:val="right" w:pos="9630"/>
      </w:tabs>
      <w:jc w:val="right"/>
    </w:pPr>
    <w:r>
      <w:t>T</w:t>
    </w:r>
    <w:r w:rsidR="00FF5E27">
      <w:t>2</w:t>
    </w:r>
    <w:r w:rsidR="00431621">
      <w:t>-</w:t>
    </w:r>
    <w:r w:rsidR="006178B3">
      <w:t>202</w:t>
    </w:r>
    <w:r w:rsidR="00FF5E27">
      <w:t>5</w:t>
    </w:r>
    <w:r w:rsidR="00496A3D">
      <w:tab/>
      <w:t xml:space="preserve">Page </w:t>
    </w:r>
    <w:r w:rsidR="00496A3D">
      <w:fldChar w:fldCharType="begin"/>
    </w:r>
    <w:r w:rsidR="00496A3D">
      <w:instrText xml:space="preserve"> PAGE   \* MERGEFORMAT </w:instrText>
    </w:r>
    <w:r w:rsidR="00496A3D">
      <w:fldChar w:fldCharType="separate"/>
    </w:r>
    <w:r w:rsidR="00102C84">
      <w:rPr>
        <w:noProof/>
      </w:rPr>
      <w:t>4</w:t>
    </w:r>
    <w:r w:rsidR="00496A3D">
      <w:fldChar w:fldCharType="end"/>
    </w:r>
    <w:r w:rsidR="00496A3D">
      <w:t xml:space="preserve"> </w:t>
    </w:r>
    <w:r>
      <w:t>de</w:t>
    </w:r>
    <w:r w:rsidR="00496A3D">
      <w:t xml:space="preserve"> </w:t>
    </w:r>
    <w:r w:rsidR="00841C1C">
      <w:rPr>
        <w:noProof/>
      </w:rPr>
      <w:fldChar w:fldCharType="begin"/>
    </w:r>
    <w:r w:rsidR="00841C1C">
      <w:rPr>
        <w:noProof/>
      </w:rPr>
      <w:instrText xml:space="preserve"> NUMPAGES   \* MERGEFORMAT </w:instrText>
    </w:r>
    <w:r w:rsidR="00841C1C">
      <w:rPr>
        <w:noProof/>
      </w:rPr>
      <w:fldChar w:fldCharType="separate"/>
    </w:r>
    <w:r w:rsidR="00102C84">
      <w:rPr>
        <w:noProof/>
      </w:rPr>
      <w:t>7</w:t>
    </w:r>
    <w:r w:rsidR="00841C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26F8E" w14:textId="77777777" w:rsidR="005A52A1" w:rsidRDefault="005A52A1" w:rsidP="009C5A2D">
      <w:pPr>
        <w:spacing w:line="240" w:lineRule="auto"/>
      </w:pPr>
      <w:r>
        <w:separator/>
      </w:r>
    </w:p>
  </w:footnote>
  <w:footnote w:type="continuationSeparator" w:id="0">
    <w:p w14:paraId="358BEEF7" w14:textId="77777777" w:rsidR="005A52A1" w:rsidRDefault="005A52A1" w:rsidP="009C5A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B6C67" w14:textId="733059F3" w:rsidR="00496A3D" w:rsidRDefault="00496A3D" w:rsidP="00B10158">
    <w:pPr>
      <w:pStyle w:val="Header"/>
      <w:tabs>
        <w:tab w:val="clear" w:pos="8640"/>
        <w:tab w:val="left" w:pos="3193"/>
        <w:tab w:val="left" w:pos="6735"/>
        <w:tab w:val="right" w:pos="9526"/>
      </w:tabs>
    </w:pPr>
    <w:r>
      <w:tab/>
    </w:r>
    <w:r>
      <w:tab/>
    </w:r>
    <w:r>
      <w:tab/>
    </w:r>
    <w:r>
      <w:tab/>
    </w:r>
    <w:r w:rsidR="00781B4B">
      <w:rPr>
        <w:noProof/>
        <w:lang w:val="en-US" w:eastAsia="zh-CN"/>
      </w:rPr>
      <w:drawing>
        <wp:inline distT="0" distB="0" distL="0" distR="0" wp14:anchorId="33DEBEAE" wp14:editId="50500CE9">
          <wp:extent cx="1024128" cy="475896"/>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X CDCC-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4128" cy="475896"/>
                  </a:xfrm>
                  <a:prstGeom prst="rect">
                    <a:avLst/>
                  </a:prstGeom>
                </pic:spPr>
              </pic:pic>
            </a:graphicData>
          </a:graphic>
        </wp:inline>
      </w:drawing>
    </w:r>
  </w:p>
  <w:p w14:paraId="6D6A6E54" w14:textId="77777777" w:rsidR="00496A3D" w:rsidRDefault="00496A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F518376E"/>
    <w:lvl w:ilvl="0">
      <w:start w:val="1"/>
      <w:numFmt w:val="bullet"/>
      <w:pStyle w:val="ListBullet5"/>
      <w:lvlText w:val=""/>
      <w:lvlJc w:val="left"/>
      <w:pPr>
        <w:tabs>
          <w:tab w:val="num" w:pos="1492"/>
        </w:tabs>
        <w:ind w:left="1492" w:hanging="360"/>
      </w:pPr>
      <w:rPr>
        <w:rFonts w:ascii="Symbol" w:hAnsi="Symbol" w:hint="default"/>
        <w:color w:val="auto"/>
      </w:rPr>
    </w:lvl>
  </w:abstractNum>
  <w:abstractNum w:abstractNumId="1" w15:restartNumberingAfterBreak="0">
    <w:nsid w:val="FFFFFF82"/>
    <w:multiLevelType w:val="singleLevel"/>
    <w:tmpl w:val="5918770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8103F0E"/>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10FB2BB5"/>
    <w:multiLevelType w:val="multilevel"/>
    <w:tmpl w:val="E64EDAC4"/>
    <w:lvl w:ilvl="0">
      <w:start w:val="17"/>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94A58B9"/>
    <w:multiLevelType w:val="multilevel"/>
    <w:tmpl w:val="04090025"/>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566DA2"/>
    <w:multiLevelType w:val="hybridMultilevel"/>
    <w:tmpl w:val="48485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0267F7"/>
    <w:multiLevelType w:val="multilevel"/>
    <w:tmpl w:val="492A460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282D1195"/>
    <w:multiLevelType w:val="hybridMultilevel"/>
    <w:tmpl w:val="501E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D386E7D"/>
    <w:multiLevelType w:val="hybridMultilevel"/>
    <w:tmpl w:val="ED70A640"/>
    <w:lvl w:ilvl="0" w:tplc="0409000F">
      <w:start w:val="1"/>
      <w:numFmt w:val="decimal"/>
      <w:lvlText w:val="%1."/>
      <w:lvlJc w:val="left"/>
      <w:pPr>
        <w:ind w:left="720" w:hanging="360"/>
      </w:pPr>
    </w:lvl>
    <w:lvl w:ilvl="1" w:tplc="3E22ED8E">
      <w:start w:val="210"/>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9C72E1"/>
    <w:multiLevelType w:val="hybridMultilevel"/>
    <w:tmpl w:val="D5D60B5E"/>
    <w:lvl w:ilvl="0" w:tplc="A802E358">
      <w:start w:val="1"/>
      <w:numFmt w:val="bullet"/>
      <w:lvlText w:val=""/>
      <w:lvlJc w:val="left"/>
      <w:pPr>
        <w:ind w:left="751" w:hanging="360"/>
      </w:pPr>
      <w:rPr>
        <w:rFonts w:ascii="Symbol" w:hAnsi="Symbol" w:hint="default"/>
        <w:sz w:val="22"/>
      </w:rPr>
    </w:lvl>
    <w:lvl w:ilvl="1" w:tplc="10090003" w:tentative="1">
      <w:start w:val="1"/>
      <w:numFmt w:val="bullet"/>
      <w:lvlText w:val="o"/>
      <w:lvlJc w:val="left"/>
      <w:pPr>
        <w:ind w:left="1831" w:hanging="360"/>
      </w:pPr>
      <w:rPr>
        <w:rFonts w:ascii="Courier New" w:hAnsi="Courier New" w:cs="Courier New" w:hint="default"/>
      </w:rPr>
    </w:lvl>
    <w:lvl w:ilvl="2" w:tplc="10090005" w:tentative="1">
      <w:start w:val="1"/>
      <w:numFmt w:val="bullet"/>
      <w:lvlText w:val=""/>
      <w:lvlJc w:val="left"/>
      <w:pPr>
        <w:ind w:left="2551" w:hanging="360"/>
      </w:pPr>
      <w:rPr>
        <w:rFonts w:ascii="Wingdings" w:hAnsi="Wingdings" w:hint="default"/>
      </w:rPr>
    </w:lvl>
    <w:lvl w:ilvl="3" w:tplc="10090001" w:tentative="1">
      <w:start w:val="1"/>
      <w:numFmt w:val="bullet"/>
      <w:lvlText w:val=""/>
      <w:lvlJc w:val="left"/>
      <w:pPr>
        <w:ind w:left="3271" w:hanging="360"/>
      </w:pPr>
      <w:rPr>
        <w:rFonts w:ascii="Symbol" w:hAnsi="Symbol" w:hint="default"/>
      </w:rPr>
    </w:lvl>
    <w:lvl w:ilvl="4" w:tplc="10090003" w:tentative="1">
      <w:start w:val="1"/>
      <w:numFmt w:val="bullet"/>
      <w:lvlText w:val="o"/>
      <w:lvlJc w:val="left"/>
      <w:pPr>
        <w:ind w:left="3991" w:hanging="360"/>
      </w:pPr>
      <w:rPr>
        <w:rFonts w:ascii="Courier New" w:hAnsi="Courier New" w:cs="Courier New" w:hint="default"/>
      </w:rPr>
    </w:lvl>
    <w:lvl w:ilvl="5" w:tplc="10090005" w:tentative="1">
      <w:start w:val="1"/>
      <w:numFmt w:val="bullet"/>
      <w:lvlText w:val=""/>
      <w:lvlJc w:val="left"/>
      <w:pPr>
        <w:ind w:left="4711" w:hanging="360"/>
      </w:pPr>
      <w:rPr>
        <w:rFonts w:ascii="Wingdings" w:hAnsi="Wingdings" w:hint="default"/>
      </w:rPr>
    </w:lvl>
    <w:lvl w:ilvl="6" w:tplc="10090001" w:tentative="1">
      <w:start w:val="1"/>
      <w:numFmt w:val="bullet"/>
      <w:lvlText w:val=""/>
      <w:lvlJc w:val="left"/>
      <w:pPr>
        <w:ind w:left="5431" w:hanging="360"/>
      </w:pPr>
      <w:rPr>
        <w:rFonts w:ascii="Symbol" w:hAnsi="Symbol" w:hint="default"/>
      </w:rPr>
    </w:lvl>
    <w:lvl w:ilvl="7" w:tplc="10090003" w:tentative="1">
      <w:start w:val="1"/>
      <w:numFmt w:val="bullet"/>
      <w:lvlText w:val="o"/>
      <w:lvlJc w:val="left"/>
      <w:pPr>
        <w:ind w:left="6151" w:hanging="360"/>
      </w:pPr>
      <w:rPr>
        <w:rFonts w:ascii="Courier New" w:hAnsi="Courier New" w:cs="Courier New" w:hint="default"/>
      </w:rPr>
    </w:lvl>
    <w:lvl w:ilvl="8" w:tplc="10090005" w:tentative="1">
      <w:start w:val="1"/>
      <w:numFmt w:val="bullet"/>
      <w:lvlText w:val=""/>
      <w:lvlJc w:val="left"/>
      <w:pPr>
        <w:ind w:left="6871" w:hanging="360"/>
      </w:pPr>
      <w:rPr>
        <w:rFonts w:ascii="Wingdings" w:hAnsi="Wingdings" w:hint="default"/>
      </w:rPr>
    </w:lvl>
  </w:abstractNum>
  <w:abstractNum w:abstractNumId="10" w15:restartNumberingAfterBreak="0">
    <w:nsid w:val="3E6263B6"/>
    <w:multiLevelType w:val="multilevel"/>
    <w:tmpl w:val="492A46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00C55D5"/>
    <w:multiLevelType w:val="hybridMultilevel"/>
    <w:tmpl w:val="7B26F59E"/>
    <w:lvl w:ilvl="0" w:tplc="6804DD98">
      <w:start w:val="1"/>
      <w:numFmt w:val="bullet"/>
      <w:pStyle w:val="Liste21"/>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50550292"/>
    <w:multiLevelType w:val="hybridMultilevel"/>
    <w:tmpl w:val="389068DA"/>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3" w15:restartNumberingAfterBreak="0">
    <w:nsid w:val="5E011A66"/>
    <w:multiLevelType w:val="hybridMultilevel"/>
    <w:tmpl w:val="5BFC2C7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69496E29"/>
    <w:multiLevelType w:val="hybridMultilevel"/>
    <w:tmpl w:val="1898DD10"/>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69543E04">
      <w:numFmt w:val="bullet"/>
      <w:lvlText w:val="-"/>
      <w:lvlJc w:val="left"/>
      <w:pPr>
        <w:ind w:left="2232" w:hanging="360"/>
      </w:pPr>
      <w:rPr>
        <w:rFonts w:ascii="Calibri" w:eastAsiaTheme="minorHAnsi" w:hAnsi="Calibri" w:cstheme="minorBidi"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7837356C"/>
    <w:multiLevelType w:val="hybridMultilevel"/>
    <w:tmpl w:val="F622348A"/>
    <w:lvl w:ilvl="0" w:tplc="3E22ED8E">
      <w:start w:val="21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78634670">
    <w:abstractNumId w:val="6"/>
  </w:num>
  <w:num w:numId="2" w16cid:durableId="1299921090">
    <w:abstractNumId w:val="10"/>
  </w:num>
  <w:num w:numId="3" w16cid:durableId="1155150081">
    <w:abstractNumId w:val="1"/>
  </w:num>
  <w:num w:numId="4" w16cid:durableId="754519901">
    <w:abstractNumId w:val="11"/>
  </w:num>
  <w:num w:numId="5" w16cid:durableId="1032804058">
    <w:abstractNumId w:val="2"/>
  </w:num>
  <w:num w:numId="6" w16cid:durableId="1573000304">
    <w:abstractNumId w:val="4"/>
  </w:num>
  <w:num w:numId="7" w16cid:durableId="100490762">
    <w:abstractNumId w:val="15"/>
  </w:num>
  <w:num w:numId="8" w16cid:durableId="2084132685">
    <w:abstractNumId w:val="8"/>
  </w:num>
  <w:num w:numId="9" w16cid:durableId="1715957541">
    <w:abstractNumId w:val="11"/>
  </w:num>
  <w:num w:numId="10" w16cid:durableId="2064864912">
    <w:abstractNumId w:val="11"/>
  </w:num>
  <w:num w:numId="11" w16cid:durableId="989332604">
    <w:abstractNumId w:val="0"/>
  </w:num>
  <w:num w:numId="12" w16cid:durableId="1944728101">
    <w:abstractNumId w:val="6"/>
  </w:num>
  <w:num w:numId="13" w16cid:durableId="547690134">
    <w:abstractNumId w:val="6"/>
  </w:num>
  <w:num w:numId="14" w16cid:durableId="2129935757">
    <w:abstractNumId w:val="6"/>
  </w:num>
  <w:num w:numId="15" w16cid:durableId="37433303">
    <w:abstractNumId w:val="6"/>
  </w:num>
  <w:num w:numId="16" w16cid:durableId="1162820462">
    <w:abstractNumId w:val="6"/>
  </w:num>
  <w:num w:numId="17" w16cid:durableId="1542748543">
    <w:abstractNumId w:val="6"/>
  </w:num>
  <w:num w:numId="18" w16cid:durableId="1983388384">
    <w:abstractNumId w:val="6"/>
  </w:num>
  <w:num w:numId="19" w16cid:durableId="1909461437">
    <w:abstractNumId w:val="6"/>
  </w:num>
  <w:num w:numId="20" w16cid:durableId="92823779">
    <w:abstractNumId w:val="6"/>
  </w:num>
  <w:num w:numId="21" w16cid:durableId="37819633">
    <w:abstractNumId w:val="14"/>
  </w:num>
  <w:num w:numId="22" w16cid:durableId="182213301">
    <w:abstractNumId w:val="6"/>
  </w:num>
  <w:num w:numId="23" w16cid:durableId="1203907810">
    <w:abstractNumId w:val="6"/>
  </w:num>
  <w:num w:numId="24" w16cid:durableId="1493717543">
    <w:abstractNumId w:val="2"/>
  </w:num>
  <w:num w:numId="25" w16cid:durableId="1411082275">
    <w:abstractNumId w:val="2"/>
  </w:num>
  <w:num w:numId="26" w16cid:durableId="768965372">
    <w:abstractNumId w:val="2"/>
  </w:num>
  <w:num w:numId="27" w16cid:durableId="318463068">
    <w:abstractNumId w:val="7"/>
  </w:num>
  <w:num w:numId="28" w16cid:durableId="1683625951">
    <w:abstractNumId w:val="5"/>
  </w:num>
  <w:num w:numId="29" w16cid:durableId="1071973821">
    <w:abstractNumId w:val="13"/>
  </w:num>
  <w:num w:numId="30" w16cid:durableId="1970167076">
    <w:abstractNumId w:val="9"/>
  </w:num>
  <w:num w:numId="31" w16cid:durableId="7247670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2943906">
    <w:abstractNumId w:val="3"/>
  </w:num>
  <w:num w:numId="33" w16cid:durableId="12574474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CA" w:vendorID="64" w:dllVersion="6" w:nlCheck="1" w:checkStyle="0"/>
  <w:activeWritingStyle w:appName="MSWord" w:lang="en-CA" w:vendorID="64" w:dllVersion="6" w:nlCheck="1" w:checkStyle="0"/>
  <w:activeWritingStyle w:appName="MSWord" w:lang="en-US" w:vendorID="64" w:dllVersion="6" w:nlCheck="1" w:checkStyle="0"/>
  <w:activeWritingStyle w:appName="MSWord" w:lang="fr-FR" w:vendorID="64" w:dllVersion="6" w:nlCheck="1" w:checkStyle="0"/>
  <w:activeWritingStyle w:appName="MSWord" w:lang="fr-CA" w:vendorID="64" w:dllVersion="4096" w:nlCheck="1" w:checkStyle="0"/>
  <w:activeWritingStyle w:appName="MSWord" w:lang="fr-FR" w:vendorID="64" w:dllVersion="4096" w:nlCheck="1" w:checkStyle="0"/>
  <w:activeWritingStyle w:appName="MSWord" w:lang="en-CA" w:vendorID="64" w:dllVersion="4096" w:nlCheck="1" w:checkStyle="0"/>
  <w:proofState w:spelling="clean" w:grammar="clean"/>
  <w:defaultTabStop w:val="720"/>
  <w:hyphenationZone w:val="425"/>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68D9"/>
    <w:rsid w:val="00002B53"/>
    <w:rsid w:val="00010F56"/>
    <w:rsid w:val="00011745"/>
    <w:rsid w:val="000205C2"/>
    <w:rsid w:val="00022521"/>
    <w:rsid w:val="000269E1"/>
    <w:rsid w:val="00034301"/>
    <w:rsid w:val="00034733"/>
    <w:rsid w:val="000353F7"/>
    <w:rsid w:val="00047D2D"/>
    <w:rsid w:val="00051408"/>
    <w:rsid w:val="00055E80"/>
    <w:rsid w:val="00056DD2"/>
    <w:rsid w:val="00057B0B"/>
    <w:rsid w:val="00057E51"/>
    <w:rsid w:val="00061109"/>
    <w:rsid w:val="000620A1"/>
    <w:rsid w:val="0006314A"/>
    <w:rsid w:val="00064A63"/>
    <w:rsid w:val="0006739F"/>
    <w:rsid w:val="00067A06"/>
    <w:rsid w:val="00067C1A"/>
    <w:rsid w:val="00070D97"/>
    <w:rsid w:val="000714EE"/>
    <w:rsid w:val="000722DA"/>
    <w:rsid w:val="000736AB"/>
    <w:rsid w:val="000737E3"/>
    <w:rsid w:val="00074806"/>
    <w:rsid w:val="00077AD4"/>
    <w:rsid w:val="00083C22"/>
    <w:rsid w:val="000846E8"/>
    <w:rsid w:val="000868A8"/>
    <w:rsid w:val="0009053E"/>
    <w:rsid w:val="00092335"/>
    <w:rsid w:val="000937EA"/>
    <w:rsid w:val="00093AFD"/>
    <w:rsid w:val="000A42A9"/>
    <w:rsid w:val="000A46B4"/>
    <w:rsid w:val="000A5A2B"/>
    <w:rsid w:val="000B06CA"/>
    <w:rsid w:val="000B0F37"/>
    <w:rsid w:val="000B3446"/>
    <w:rsid w:val="000B67D9"/>
    <w:rsid w:val="000B7E81"/>
    <w:rsid w:val="000D2DF4"/>
    <w:rsid w:val="000D3257"/>
    <w:rsid w:val="000D631F"/>
    <w:rsid w:val="000D7AD0"/>
    <w:rsid w:val="000E09C6"/>
    <w:rsid w:val="000E1ECA"/>
    <w:rsid w:val="000E2886"/>
    <w:rsid w:val="000E3695"/>
    <w:rsid w:val="000E41CF"/>
    <w:rsid w:val="000F24BD"/>
    <w:rsid w:val="00102C84"/>
    <w:rsid w:val="00107127"/>
    <w:rsid w:val="00112157"/>
    <w:rsid w:val="00113000"/>
    <w:rsid w:val="0012192B"/>
    <w:rsid w:val="00122D57"/>
    <w:rsid w:val="00123811"/>
    <w:rsid w:val="00124574"/>
    <w:rsid w:val="00124AA5"/>
    <w:rsid w:val="00124C4E"/>
    <w:rsid w:val="00126E3B"/>
    <w:rsid w:val="00132973"/>
    <w:rsid w:val="00133626"/>
    <w:rsid w:val="00133BF1"/>
    <w:rsid w:val="001344A7"/>
    <w:rsid w:val="0013580C"/>
    <w:rsid w:val="001371B3"/>
    <w:rsid w:val="00141FA6"/>
    <w:rsid w:val="001439BB"/>
    <w:rsid w:val="00143C13"/>
    <w:rsid w:val="00147390"/>
    <w:rsid w:val="00151A6D"/>
    <w:rsid w:val="00151EBA"/>
    <w:rsid w:val="00152322"/>
    <w:rsid w:val="00154B8B"/>
    <w:rsid w:val="00160A19"/>
    <w:rsid w:val="00161946"/>
    <w:rsid w:val="001629D1"/>
    <w:rsid w:val="001641B4"/>
    <w:rsid w:val="00167CD9"/>
    <w:rsid w:val="0017093C"/>
    <w:rsid w:val="00173E63"/>
    <w:rsid w:val="001756D9"/>
    <w:rsid w:val="00175A71"/>
    <w:rsid w:val="00185299"/>
    <w:rsid w:val="00185973"/>
    <w:rsid w:val="001864C6"/>
    <w:rsid w:val="00194248"/>
    <w:rsid w:val="001968D5"/>
    <w:rsid w:val="00197386"/>
    <w:rsid w:val="001A6034"/>
    <w:rsid w:val="001A7E0A"/>
    <w:rsid w:val="001B026B"/>
    <w:rsid w:val="001B0831"/>
    <w:rsid w:val="001B27E0"/>
    <w:rsid w:val="001B2A2E"/>
    <w:rsid w:val="001B2AB5"/>
    <w:rsid w:val="001C3DFE"/>
    <w:rsid w:val="001C4DB2"/>
    <w:rsid w:val="001C5FE5"/>
    <w:rsid w:val="001D04D8"/>
    <w:rsid w:val="001D1C06"/>
    <w:rsid w:val="001D2129"/>
    <w:rsid w:val="001D5D9C"/>
    <w:rsid w:val="001E154C"/>
    <w:rsid w:val="001E1D3B"/>
    <w:rsid w:val="001E3EC6"/>
    <w:rsid w:val="001E59BE"/>
    <w:rsid w:val="001E5FE7"/>
    <w:rsid w:val="001E7014"/>
    <w:rsid w:val="00206511"/>
    <w:rsid w:val="002072E2"/>
    <w:rsid w:val="002076ED"/>
    <w:rsid w:val="00210096"/>
    <w:rsid w:val="002103D9"/>
    <w:rsid w:val="00211175"/>
    <w:rsid w:val="0021179B"/>
    <w:rsid w:val="002124DC"/>
    <w:rsid w:val="0021491F"/>
    <w:rsid w:val="0021572F"/>
    <w:rsid w:val="00216D41"/>
    <w:rsid w:val="00216F2B"/>
    <w:rsid w:val="0021784E"/>
    <w:rsid w:val="00226373"/>
    <w:rsid w:val="00226740"/>
    <w:rsid w:val="00226D3D"/>
    <w:rsid w:val="00226D8C"/>
    <w:rsid w:val="00230E61"/>
    <w:rsid w:val="00235225"/>
    <w:rsid w:val="002407B8"/>
    <w:rsid w:val="00240B95"/>
    <w:rsid w:val="0024107F"/>
    <w:rsid w:val="002439F6"/>
    <w:rsid w:val="00244024"/>
    <w:rsid w:val="00256E68"/>
    <w:rsid w:val="00257DC1"/>
    <w:rsid w:val="002605FB"/>
    <w:rsid w:val="002614BC"/>
    <w:rsid w:val="002620C4"/>
    <w:rsid w:val="002643E3"/>
    <w:rsid w:val="00270780"/>
    <w:rsid w:val="00273610"/>
    <w:rsid w:val="00273DB0"/>
    <w:rsid w:val="00280245"/>
    <w:rsid w:val="00280F56"/>
    <w:rsid w:val="00282DBD"/>
    <w:rsid w:val="00290659"/>
    <w:rsid w:val="002908E8"/>
    <w:rsid w:val="00294C1D"/>
    <w:rsid w:val="002B240F"/>
    <w:rsid w:val="002B33F5"/>
    <w:rsid w:val="002B7925"/>
    <w:rsid w:val="002C2651"/>
    <w:rsid w:val="002C6728"/>
    <w:rsid w:val="002D5515"/>
    <w:rsid w:val="002E14E9"/>
    <w:rsid w:val="002E3241"/>
    <w:rsid w:val="002E4F75"/>
    <w:rsid w:val="002E7006"/>
    <w:rsid w:val="002E70BE"/>
    <w:rsid w:val="002F2A59"/>
    <w:rsid w:val="003040CB"/>
    <w:rsid w:val="00304A0F"/>
    <w:rsid w:val="00311311"/>
    <w:rsid w:val="00312BE0"/>
    <w:rsid w:val="003147A2"/>
    <w:rsid w:val="003155D9"/>
    <w:rsid w:val="00316697"/>
    <w:rsid w:val="0032092A"/>
    <w:rsid w:val="00321F6E"/>
    <w:rsid w:val="00324F61"/>
    <w:rsid w:val="003252BB"/>
    <w:rsid w:val="00325C4F"/>
    <w:rsid w:val="00330AE7"/>
    <w:rsid w:val="00330C02"/>
    <w:rsid w:val="00342327"/>
    <w:rsid w:val="003459DA"/>
    <w:rsid w:val="003471BB"/>
    <w:rsid w:val="00350B7F"/>
    <w:rsid w:val="003554F8"/>
    <w:rsid w:val="0036504F"/>
    <w:rsid w:val="00371B6F"/>
    <w:rsid w:val="003745AE"/>
    <w:rsid w:val="00374BBD"/>
    <w:rsid w:val="00380D3A"/>
    <w:rsid w:val="0038148C"/>
    <w:rsid w:val="003826D1"/>
    <w:rsid w:val="00385B41"/>
    <w:rsid w:val="00391703"/>
    <w:rsid w:val="003A04C1"/>
    <w:rsid w:val="003A1F71"/>
    <w:rsid w:val="003A2FC6"/>
    <w:rsid w:val="003A4B7D"/>
    <w:rsid w:val="003A67B0"/>
    <w:rsid w:val="003B68D9"/>
    <w:rsid w:val="003B7EBA"/>
    <w:rsid w:val="003C18CD"/>
    <w:rsid w:val="003C18E3"/>
    <w:rsid w:val="003C4FD1"/>
    <w:rsid w:val="003C6352"/>
    <w:rsid w:val="003D01E4"/>
    <w:rsid w:val="003D40AD"/>
    <w:rsid w:val="003D4A5D"/>
    <w:rsid w:val="003D6262"/>
    <w:rsid w:val="003D79B9"/>
    <w:rsid w:val="003D7B58"/>
    <w:rsid w:val="003E2F37"/>
    <w:rsid w:val="003E4A63"/>
    <w:rsid w:val="003E4A65"/>
    <w:rsid w:val="003F35C9"/>
    <w:rsid w:val="003F4BEB"/>
    <w:rsid w:val="003F4BF5"/>
    <w:rsid w:val="003F530B"/>
    <w:rsid w:val="00402BF8"/>
    <w:rsid w:val="00402F46"/>
    <w:rsid w:val="00403A82"/>
    <w:rsid w:val="00405E29"/>
    <w:rsid w:val="004127B4"/>
    <w:rsid w:val="00416B30"/>
    <w:rsid w:val="0042109B"/>
    <w:rsid w:val="004220B1"/>
    <w:rsid w:val="00425D2E"/>
    <w:rsid w:val="00427097"/>
    <w:rsid w:val="0042722F"/>
    <w:rsid w:val="0043017F"/>
    <w:rsid w:val="00431621"/>
    <w:rsid w:val="00432E1D"/>
    <w:rsid w:val="00433554"/>
    <w:rsid w:val="0043372D"/>
    <w:rsid w:val="00434844"/>
    <w:rsid w:val="004425A8"/>
    <w:rsid w:val="00443785"/>
    <w:rsid w:val="00443E04"/>
    <w:rsid w:val="0044504E"/>
    <w:rsid w:val="00451554"/>
    <w:rsid w:val="00452C3F"/>
    <w:rsid w:val="00452DED"/>
    <w:rsid w:val="0045460B"/>
    <w:rsid w:val="00461889"/>
    <w:rsid w:val="004630AE"/>
    <w:rsid w:val="00465D56"/>
    <w:rsid w:val="00470FAD"/>
    <w:rsid w:val="00476B08"/>
    <w:rsid w:val="004818CA"/>
    <w:rsid w:val="00481960"/>
    <w:rsid w:val="00484643"/>
    <w:rsid w:val="00484C61"/>
    <w:rsid w:val="00494FD1"/>
    <w:rsid w:val="00495933"/>
    <w:rsid w:val="00496A3D"/>
    <w:rsid w:val="004A3596"/>
    <w:rsid w:val="004A36DC"/>
    <w:rsid w:val="004A3CAC"/>
    <w:rsid w:val="004A6C4F"/>
    <w:rsid w:val="004A778F"/>
    <w:rsid w:val="004B020F"/>
    <w:rsid w:val="004B262B"/>
    <w:rsid w:val="004B67D8"/>
    <w:rsid w:val="004C0002"/>
    <w:rsid w:val="004C0424"/>
    <w:rsid w:val="004C2E77"/>
    <w:rsid w:val="004C3D02"/>
    <w:rsid w:val="004C5E37"/>
    <w:rsid w:val="004C697E"/>
    <w:rsid w:val="004C6DC3"/>
    <w:rsid w:val="004C7F24"/>
    <w:rsid w:val="004D2215"/>
    <w:rsid w:val="004D26B0"/>
    <w:rsid w:val="004D3051"/>
    <w:rsid w:val="004E0A91"/>
    <w:rsid w:val="004E210C"/>
    <w:rsid w:val="004E2D73"/>
    <w:rsid w:val="004E604E"/>
    <w:rsid w:val="004F3D5F"/>
    <w:rsid w:val="004F43DB"/>
    <w:rsid w:val="004F512C"/>
    <w:rsid w:val="004F5C59"/>
    <w:rsid w:val="004F5E84"/>
    <w:rsid w:val="00500CFC"/>
    <w:rsid w:val="00501384"/>
    <w:rsid w:val="00502930"/>
    <w:rsid w:val="005029D8"/>
    <w:rsid w:val="00502F82"/>
    <w:rsid w:val="005038AA"/>
    <w:rsid w:val="00505800"/>
    <w:rsid w:val="0050661D"/>
    <w:rsid w:val="00514243"/>
    <w:rsid w:val="0051564D"/>
    <w:rsid w:val="00523D76"/>
    <w:rsid w:val="00530E57"/>
    <w:rsid w:val="00531D4E"/>
    <w:rsid w:val="00533713"/>
    <w:rsid w:val="00537BD6"/>
    <w:rsid w:val="00541B07"/>
    <w:rsid w:val="005433B1"/>
    <w:rsid w:val="00543CB6"/>
    <w:rsid w:val="0054499D"/>
    <w:rsid w:val="00544A85"/>
    <w:rsid w:val="0054608F"/>
    <w:rsid w:val="00547B21"/>
    <w:rsid w:val="005522D0"/>
    <w:rsid w:val="00552316"/>
    <w:rsid w:val="00556673"/>
    <w:rsid w:val="00561C1A"/>
    <w:rsid w:val="0056389C"/>
    <w:rsid w:val="00563A01"/>
    <w:rsid w:val="0056448F"/>
    <w:rsid w:val="00564BB3"/>
    <w:rsid w:val="00564D59"/>
    <w:rsid w:val="00566543"/>
    <w:rsid w:val="00566E3C"/>
    <w:rsid w:val="00567676"/>
    <w:rsid w:val="0057016E"/>
    <w:rsid w:val="00571815"/>
    <w:rsid w:val="005810BC"/>
    <w:rsid w:val="00584323"/>
    <w:rsid w:val="00586571"/>
    <w:rsid w:val="00595688"/>
    <w:rsid w:val="005A52A1"/>
    <w:rsid w:val="005A5F1A"/>
    <w:rsid w:val="005B1FCB"/>
    <w:rsid w:val="005B2DF9"/>
    <w:rsid w:val="005B7332"/>
    <w:rsid w:val="005C01F4"/>
    <w:rsid w:val="005C1931"/>
    <w:rsid w:val="005C309E"/>
    <w:rsid w:val="005C5549"/>
    <w:rsid w:val="005D0753"/>
    <w:rsid w:val="005E06BF"/>
    <w:rsid w:val="005E48C9"/>
    <w:rsid w:val="005E4DE8"/>
    <w:rsid w:val="005F0163"/>
    <w:rsid w:val="005F2182"/>
    <w:rsid w:val="005F5325"/>
    <w:rsid w:val="00605519"/>
    <w:rsid w:val="0061309E"/>
    <w:rsid w:val="00614C1B"/>
    <w:rsid w:val="00614EAD"/>
    <w:rsid w:val="00617727"/>
    <w:rsid w:val="006178B3"/>
    <w:rsid w:val="00624D18"/>
    <w:rsid w:val="00631704"/>
    <w:rsid w:val="00633D2D"/>
    <w:rsid w:val="00634B40"/>
    <w:rsid w:val="006353B7"/>
    <w:rsid w:val="006361EB"/>
    <w:rsid w:val="00636A2D"/>
    <w:rsid w:val="00642CF7"/>
    <w:rsid w:val="00645F51"/>
    <w:rsid w:val="00651EAA"/>
    <w:rsid w:val="006551DC"/>
    <w:rsid w:val="00657D97"/>
    <w:rsid w:val="006605F4"/>
    <w:rsid w:val="00663FB4"/>
    <w:rsid w:val="0066641A"/>
    <w:rsid w:val="006725FB"/>
    <w:rsid w:val="00673AE3"/>
    <w:rsid w:val="006741D2"/>
    <w:rsid w:val="00675EF3"/>
    <w:rsid w:val="00681602"/>
    <w:rsid w:val="00684D22"/>
    <w:rsid w:val="006857DC"/>
    <w:rsid w:val="00691654"/>
    <w:rsid w:val="00692A97"/>
    <w:rsid w:val="00693481"/>
    <w:rsid w:val="00697D23"/>
    <w:rsid w:val="006B50DB"/>
    <w:rsid w:val="006B7537"/>
    <w:rsid w:val="006C3A59"/>
    <w:rsid w:val="006C4435"/>
    <w:rsid w:val="006C71E6"/>
    <w:rsid w:val="006D3024"/>
    <w:rsid w:val="006D31C9"/>
    <w:rsid w:val="006D41B6"/>
    <w:rsid w:val="006D6075"/>
    <w:rsid w:val="006E1718"/>
    <w:rsid w:val="006E2A12"/>
    <w:rsid w:val="006E55EC"/>
    <w:rsid w:val="006F0752"/>
    <w:rsid w:val="006F483A"/>
    <w:rsid w:val="006F4A42"/>
    <w:rsid w:val="00703E5A"/>
    <w:rsid w:val="00703E60"/>
    <w:rsid w:val="007055E7"/>
    <w:rsid w:val="00706ECD"/>
    <w:rsid w:val="00707D0E"/>
    <w:rsid w:val="00710074"/>
    <w:rsid w:val="007122EF"/>
    <w:rsid w:val="00712761"/>
    <w:rsid w:val="00713DE8"/>
    <w:rsid w:val="0072498C"/>
    <w:rsid w:val="00726BE2"/>
    <w:rsid w:val="0072712C"/>
    <w:rsid w:val="00732088"/>
    <w:rsid w:val="0073254C"/>
    <w:rsid w:val="00733B3F"/>
    <w:rsid w:val="00734DE6"/>
    <w:rsid w:val="007363BC"/>
    <w:rsid w:val="007366AE"/>
    <w:rsid w:val="007424A2"/>
    <w:rsid w:val="007443FD"/>
    <w:rsid w:val="00744D9B"/>
    <w:rsid w:val="007543E1"/>
    <w:rsid w:val="00755527"/>
    <w:rsid w:val="00755653"/>
    <w:rsid w:val="007566F6"/>
    <w:rsid w:val="00761C22"/>
    <w:rsid w:val="00761CED"/>
    <w:rsid w:val="00763E20"/>
    <w:rsid w:val="00781B4B"/>
    <w:rsid w:val="00782818"/>
    <w:rsid w:val="007904B2"/>
    <w:rsid w:val="0079618E"/>
    <w:rsid w:val="007A2985"/>
    <w:rsid w:val="007A2B91"/>
    <w:rsid w:val="007A325E"/>
    <w:rsid w:val="007A41CF"/>
    <w:rsid w:val="007A5666"/>
    <w:rsid w:val="007A5DD5"/>
    <w:rsid w:val="007A7D33"/>
    <w:rsid w:val="007B0D54"/>
    <w:rsid w:val="007B0D78"/>
    <w:rsid w:val="007B5F4E"/>
    <w:rsid w:val="007B7699"/>
    <w:rsid w:val="007B7E0D"/>
    <w:rsid w:val="007C16CF"/>
    <w:rsid w:val="007C1AC5"/>
    <w:rsid w:val="007C5261"/>
    <w:rsid w:val="007C7849"/>
    <w:rsid w:val="007D1773"/>
    <w:rsid w:val="007E43D3"/>
    <w:rsid w:val="007E5369"/>
    <w:rsid w:val="007E59AA"/>
    <w:rsid w:val="007E5DCA"/>
    <w:rsid w:val="007E75DF"/>
    <w:rsid w:val="007F168A"/>
    <w:rsid w:val="007F42AF"/>
    <w:rsid w:val="007F4553"/>
    <w:rsid w:val="007F7CBF"/>
    <w:rsid w:val="00800ADF"/>
    <w:rsid w:val="00802465"/>
    <w:rsid w:val="00804192"/>
    <w:rsid w:val="0080568B"/>
    <w:rsid w:val="00805BCF"/>
    <w:rsid w:val="008257D0"/>
    <w:rsid w:val="0083292B"/>
    <w:rsid w:val="0084160C"/>
    <w:rsid w:val="00841C1C"/>
    <w:rsid w:val="00842C57"/>
    <w:rsid w:val="00850DC8"/>
    <w:rsid w:val="00854930"/>
    <w:rsid w:val="00854DB5"/>
    <w:rsid w:val="00860C13"/>
    <w:rsid w:val="00860CCA"/>
    <w:rsid w:val="008612DA"/>
    <w:rsid w:val="00861E27"/>
    <w:rsid w:val="008648B9"/>
    <w:rsid w:val="008651BB"/>
    <w:rsid w:val="00865E12"/>
    <w:rsid w:val="00884257"/>
    <w:rsid w:val="00887B7E"/>
    <w:rsid w:val="00894CD4"/>
    <w:rsid w:val="00897D7A"/>
    <w:rsid w:val="00897DAC"/>
    <w:rsid w:val="008A1CF3"/>
    <w:rsid w:val="008A4343"/>
    <w:rsid w:val="008A4451"/>
    <w:rsid w:val="008A5A8D"/>
    <w:rsid w:val="008A6F01"/>
    <w:rsid w:val="008A7924"/>
    <w:rsid w:val="008B14AD"/>
    <w:rsid w:val="008B3BBC"/>
    <w:rsid w:val="008B5B9B"/>
    <w:rsid w:val="008C0566"/>
    <w:rsid w:val="008C2D1B"/>
    <w:rsid w:val="008C57A6"/>
    <w:rsid w:val="008C6BC6"/>
    <w:rsid w:val="008D3CEF"/>
    <w:rsid w:val="008D7899"/>
    <w:rsid w:val="008F2184"/>
    <w:rsid w:val="008F4244"/>
    <w:rsid w:val="008F78D7"/>
    <w:rsid w:val="008F7D36"/>
    <w:rsid w:val="00900449"/>
    <w:rsid w:val="00902FD3"/>
    <w:rsid w:val="00910356"/>
    <w:rsid w:val="00912798"/>
    <w:rsid w:val="009133FE"/>
    <w:rsid w:val="0091438E"/>
    <w:rsid w:val="009232FB"/>
    <w:rsid w:val="009245B3"/>
    <w:rsid w:val="00924DD1"/>
    <w:rsid w:val="0092787A"/>
    <w:rsid w:val="00940F82"/>
    <w:rsid w:val="00943736"/>
    <w:rsid w:val="0094508E"/>
    <w:rsid w:val="00945493"/>
    <w:rsid w:val="0095501F"/>
    <w:rsid w:val="009571A4"/>
    <w:rsid w:val="009577B8"/>
    <w:rsid w:val="0096439F"/>
    <w:rsid w:val="0096668B"/>
    <w:rsid w:val="0096778A"/>
    <w:rsid w:val="00967820"/>
    <w:rsid w:val="00973113"/>
    <w:rsid w:val="00986108"/>
    <w:rsid w:val="00986E33"/>
    <w:rsid w:val="00994E85"/>
    <w:rsid w:val="00995C65"/>
    <w:rsid w:val="00995DB1"/>
    <w:rsid w:val="00997A7C"/>
    <w:rsid w:val="009A2412"/>
    <w:rsid w:val="009A2E94"/>
    <w:rsid w:val="009A70F8"/>
    <w:rsid w:val="009B08FA"/>
    <w:rsid w:val="009B1DD4"/>
    <w:rsid w:val="009B227F"/>
    <w:rsid w:val="009B2322"/>
    <w:rsid w:val="009B3332"/>
    <w:rsid w:val="009B4C30"/>
    <w:rsid w:val="009C43D4"/>
    <w:rsid w:val="009C5A2D"/>
    <w:rsid w:val="009D3F4B"/>
    <w:rsid w:val="009D4132"/>
    <w:rsid w:val="009D4506"/>
    <w:rsid w:val="009D6052"/>
    <w:rsid w:val="009E7F52"/>
    <w:rsid w:val="009F2987"/>
    <w:rsid w:val="009F34F6"/>
    <w:rsid w:val="00A02B21"/>
    <w:rsid w:val="00A02DD5"/>
    <w:rsid w:val="00A05BF8"/>
    <w:rsid w:val="00A13D85"/>
    <w:rsid w:val="00A14E65"/>
    <w:rsid w:val="00A15CAA"/>
    <w:rsid w:val="00A16DCE"/>
    <w:rsid w:val="00A1731F"/>
    <w:rsid w:val="00A17653"/>
    <w:rsid w:val="00A204C1"/>
    <w:rsid w:val="00A20BF6"/>
    <w:rsid w:val="00A2315D"/>
    <w:rsid w:val="00A241EA"/>
    <w:rsid w:val="00A2503E"/>
    <w:rsid w:val="00A257EF"/>
    <w:rsid w:val="00A31AE7"/>
    <w:rsid w:val="00A3534A"/>
    <w:rsid w:val="00A37FB8"/>
    <w:rsid w:val="00A430B6"/>
    <w:rsid w:val="00A44859"/>
    <w:rsid w:val="00A45F4C"/>
    <w:rsid w:val="00A46443"/>
    <w:rsid w:val="00A57A11"/>
    <w:rsid w:val="00A63424"/>
    <w:rsid w:val="00A63C33"/>
    <w:rsid w:val="00A6480E"/>
    <w:rsid w:val="00A6489B"/>
    <w:rsid w:val="00A71953"/>
    <w:rsid w:val="00A71F9F"/>
    <w:rsid w:val="00A756A2"/>
    <w:rsid w:val="00A75B16"/>
    <w:rsid w:val="00A75F6B"/>
    <w:rsid w:val="00A76A95"/>
    <w:rsid w:val="00A808B5"/>
    <w:rsid w:val="00A918D6"/>
    <w:rsid w:val="00A938AA"/>
    <w:rsid w:val="00AA47CD"/>
    <w:rsid w:val="00AB088E"/>
    <w:rsid w:val="00AB300C"/>
    <w:rsid w:val="00AB47F1"/>
    <w:rsid w:val="00AB5B2E"/>
    <w:rsid w:val="00AB7221"/>
    <w:rsid w:val="00AB7A84"/>
    <w:rsid w:val="00AB7E46"/>
    <w:rsid w:val="00AC3F53"/>
    <w:rsid w:val="00AC5604"/>
    <w:rsid w:val="00AC5AE2"/>
    <w:rsid w:val="00AC6234"/>
    <w:rsid w:val="00AD16BE"/>
    <w:rsid w:val="00AD3501"/>
    <w:rsid w:val="00AD4FED"/>
    <w:rsid w:val="00AE31A6"/>
    <w:rsid w:val="00AE5DAD"/>
    <w:rsid w:val="00AE6C3D"/>
    <w:rsid w:val="00AF1D7D"/>
    <w:rsid w:val="00AF5126"/>
    <w:rsid w:val="00AF5DF3"/>
    <w:rsid w:val="00AF6CE4"/>
    <w:rsid w:val="00B011F0"/>
    <w:rsid w:val="00B049A5"/>
    <w:rsid w:val="00B04FF1"/>
    <w:rsid w:val="00B07D98"/>
    <w:rsid w:val="00B10158"/>
    <w:rsid w:val="00B1025C"/>
    <w:rsid w:val="00B10C85"/>
    <w:rsid w:val="00B15A64"/>
    <w:rsid w:val="00B22769"/>
    <w:rsid w:val="00B25528"/>
    <w:rsid w:val="00B25E2B"/>
    <w:rsid w:val="00B26556"/>
    <w:rsid w:val="00B27B3B"/>
    <w:rsid w:val="00B30D34"/>
    <w:rsid w:val="00B320B9"/>
    <w:rsid w:val="00B32233"/>
    <w:rsid w:val="00B32354"/>
    <w:rsid w:val="00B32F41"/>
    <w:rsid w:val="00B36D1F"/>
    <w:rsid w:val="00B406B8"/>
    <w:rsid w:val="00B4113D"/>
    <w:rsid w:val="00B413E4"/>
    <w:rsid w:val="00B43A9B"/>
    <w:rsid w:val="00B45201"/>
    <w:rsid w:val="00B50AF8"/>
    <w:rsid w:val="00B50B85"/>
    <w:rsid w:val="00B526BC"/>
    <w:rsid w:val="00B54788"/>
    <w:rsid w:val="00B57F8B"/>
    <w:rsid w:val="00B61F2E"/>
    <w:rsid w:val="00B62450"/>
    <w:rsid w:val="00B62BD1"/>
    <w:rsid w:val="00B63909"/>
    <w:rsid w:val="00B63C6E"/>
    <w:rsid w:val="00B67F1C"/>
    <w:rsid w:val="00B70F95"/>
    <w:rsid w:val="00B7159C"/>
    <w:rsid w:val="00B72ED4"/>
    <w:rsid w:val="00B745C5"/>
    <w:rsid w:val="00B814EB"/>
    <w:rsid w:val="00B83A55"/>
    <w:rsid w:val="00B83FD0"/>
    <w:rsid w:val="00B9296C"/>
    <w:rsid w:val="00B93ED9"/>
    <w:rsid w:val="00B96436"/>
    <w:rsid w:val="00BA1FDC"/>
    <w:rsid w:val="00BA50A8"/>
    <w:rsid w:val="00BA6B90"/>
    <w:rsid w:val="00BA7F3F"/>
    <w:rsid w:val="00BB0726"/>
    <w:rsid w:val="00BB5024"/>
    <w:rsid w:val="00BB54BE"/>
    <w:rsid w:val="00BC048F"/>
    <w:rsid w:val="00BC581A"/>
    <w:rsid w:val="00BD1061"/>
    <w:rsid w:val="00BD32D2"/>
    <w:rsid w:val="00BD53BC"/>
    <w:rsid w:val="00BD67E3"/>
    <w:rsid w:val="00BD6924"/>
    <w:rsid w:val="00BD6F6C"/>
    <w:rsid w:val="00BE429C"/>
    <w:rsid w:val="00BF1E93"/>
    <w:rsid w:val="00BF2F44"/>
    <w:rsid w:val="00BF4F93"/>
    <w:rsid w:val="00C02F3B"/>
    <w:rsid w:val="00C04F9D"/>
    <w:rsid w:val="00C06B9E"/>
    <w:rsid w:val="00C136E1"/>
    <w:rsid w:val="00C17B18"/>
    <w:rsid w:val="00C22D41"/>
    <w:rsid w:val="00C248C2"/>
    <w:rsid w:val="00C33E49"/>
    <w:rsid w:val="00C37A9A"/>
    <w:rsid w:val="00C41FE2"/>
    <w:rsid w:val="00C436E4"/>
    <w:rsid w:val="00C43E2A"/>
    <w:rsid w:val="00C44E99"/>
    <w:rsid w:val="00C46C0E"/>
    <w:rsid w:val="00C50772"/>
    <w:rsid w:val="00C510F0"/>
    <w:rsid w:val="00C5282A"/>
    <w:rsid w:val="00C60A96"/>
    <w:rsid w:val="00C60EAA"/>
    <w:rsid w:val="00C62DE0"/>
    <w:rsid w:val="00C66DF9"/>
    <w:rsid w:val="00C723A4"/>
    <w:rsid w:val="00C73C2E"/>
    <w:rsid w:val="00C818C1"/>
    <w:rsid w:val="00C8223A"/>
    <w:rsid w:val="00C919E4"/>
    <w:rsid w:val="00C9236C"/>
    <w:rsid w:val="00C92937"/>
    <w:rsid w:val="00C93FA9"/>
    <w:rsid w:val="00C97437"/>
    <w:rsid w:val="00C97C8E"/>
    <w:rsid w:val="00CA0E6A"/>
    <w:rsid w:val="00CA256F"/>
    <w:rsid w:val="00CA25F6"/>
    <w:rsid w:val="00CB01FC"/>
    <w:rsid w:val="00CB2EF1"/>
    <w:rsid w:val="00CB4A7B"/>
    <w:rsid w:val="00CB5D0D"/>
    <w:rsid w:val="00CC5B4E"/>
    <w:rsid w:val="00CC666C"/>
    <w:rsid w:val="00CC7F9E"/>
    <w:rsid w:val="00CD1A26"/>
    <w:rsid w:val="00CD3675"/>
    <w:rsid w:val="00CD3A53"/>
    <w:rsid w:val="00CE3375"/>
    <w:rsid w:val="00CE373D"/>
    <w:rsid w:val="00CE3ECD"/>
    <w:rsid w:val="00CF17B3"/>
    <w:rsid w:val="00CF3C33"/>
    <w:rsid w:val="00CF41D4"/>
    <w:rsid w:val="00CF4416"/>
    <w:rsid w:val="00D04426"/>
    <w:rsid w:val="00D10445"/>
    <w:rsid w:val="00D1168A"/>
    <w:rsid w:val="00D127FF"/>
    <w:rsid w:val="00D239BF"/>
    <w:rsid w:val="00D24670"/>
    <w:rsid w:val="00D32268"/>
    <w:rsid w:val="00D41995"/>
    <w:rsid w:val="00D43E83"/>
    <w:rsid w:val="00D446E2"/>
    <w:rsid w:val="00D46807"/>
    <w:rsid w:val="00D47A78"/>
    <w:rsid w:val="00D51928"/>
    <w:rsid w:val="00D53B4E"/>
    <w:rsid w:val="00D61E1A"/>
    <w:rsid w:val="00D63953"/>
    <w:rsid w:val="00D669A2"/>
    <w:rsid w:val="00D7408B"/>
    <w:rsid w:val="00D77ECC"/>
    <w:rsid w:val="00D77F04"/>
    <w:rsid w:val="00D81F7E"/>
    <w:rsid w:val="00D82195"/>
    <w:rsid w:val="00D82307"/>
    <w:rsid w:val="00D82858"/>
    <w:rsid w:val="00D82D51"/>
    <w:rsid w:val="00D84CEC"/>
    <w:rsid w:val="00D84D14"/>
    <w:rsid w:val="00D867A6"/>
    <w:rsid w:val="00D91938"/>
    <w:rsid w:val="00D92016"/>
    <w:rsid w:val="00DA3A41"/>
    <w:rsid w:val="00DA4D66"/>
    <w:rsid w:val="00DA4F57"/>
    <w:rsid w:val="00DA635D"/>
    <w:rsid w:val="00DA710E"/>
    <w:rsid w:val="00DB0AE4"/>
    <w:rsid w:val="00DB54E8"/>
    <w:rsid w:val="00DC3C8D"/>
    <w:rsid w:val="00DD1046"/>
    <w:rsid w:val="00DD546E"/>
    <w:rsid w:val="00DD5DF5"/>
    <w:rsid w:val="00DD61D2"/>
    <w:rsid w:val="00DE061B"/>
    <w:rsid w:val="00DE399C"/>
    <w:rsid w:val="00DE45A1"/>
    <w:rsid w:val="00DE5777"/>
    <w:rsid w:val="00DE7D6A"/>
    <w:rsid w:val="00DF114A"/>
    <w:rsid w:val="00DF5717"/>
    <w:rsid w:val="00DF6FAF"/>
    <w:rsid w:val="00E0063C"/>
    <w:rsid w:val="00E02817"/>
    <w:rsid w:val="00E04284"/>
    <w:rsid w:val="00E06EB7"/>
    <w:rsid w:val="00E11700"/>
    <w:rsid w:val="00E13D4C"/>
    <w:rsid w:val="00E16889"/>
    <w:rsid w:val="00E20665"/>
    <w:rsid w:val="00E24985"/>
    <w:rsid w:val="00E300C8"/>
    <w:rsid w:val="00E31F4F"/>
    <w:rsid w:val="00E330E8"/>
    <w:rsid w:val="00E3409B"/>
    <w:rsid w:val="00E34199"/>
    <w:rsid w:val="00E406A0"/>
    <w:rsid w:val="00E40AD7"/>
    <w:rsid w:val="00E4131F"/>
    <w:rsid w:val="00E41C64"/>
    <w:rsid w:val="00E46EE4"/>
    <w:rsid w:val="00E5189B"/>
    <w:rsid w:val="00E54F09"/>
    <w:rsid w:val="00E565CB"/>
    <w:rsid w:val="00E651F9"/>
    <w:rsid w:val="00E65E2A"/>
    <w:rsid w:val="00E66E0A"/>
    <w:rsid w:val="00E7092F"/>
    <w:rsid w:val="00E7099F"/>
    <w:rsid w:val="00E71653"/>
    <w:rsid w:val="00E73958"/>
    <w:rsid w:val="00E73DF1"/>
    <w:rsid w:val="00E75BC7"/>
    <w:rsid w:val="00E77511"/>
    <w:rsid w:val="00E77D29"/>
    <w:rsid w:val="00E83075"/>
    <w:rsid w:val="00E833B5"/>
    <w:rsid w:val="00E83E39"/>
    <w:rsid w:val="00E84D35"/>
    <w:rsid w:val="00E86595"/>
    <w:rsid w:val="00E86DD8"/>
    <w:rsid w:val="00E87701"/>
    <w:rsid w:val="00EA37DC"/>
    <w:rsid w:val="00EB139A"/>
    <w:rsid w:val="00ED0521"/>
    <w:rsid w:val="00ED081B"/>
    <w:rsid w:val="00ED0E92"/>
    <w:rsid w:val="00ED32D5"/>
    <w:rsid w:val="00ED47E4"/>
    <w:rsid w:val="00ED6ACA"/>
    <w:rsid w:val="00EE01D0"/>
    <w:rsid w:val="00EE23DB"/>
    <w:rsid w:val="00EE2DA3"/>
    <w:rsid w:val="00EE4CE5"/>
    <w:rsid w:val="00EE5E9C"/>
    <w:rsid w:val="00EF1C25"/>
    <w:rsid w:val="00EF253D"/>
    <w:rsid w:val="00EF4814"/>
    <w:rsid w:val="00EF51CF"/>
    <w:rsid w:val="00EF6881"/>
    <w:rsid w:val="00EF7F96"/>
    <w:rsid w:val="00F013DC"/>
    <w:rsid w:val="00F03027"/>
    <w:rsid w:val="00F0309B"/>
    <w:rsid w:val="00F0446E"/>
    <w:rsid w:val="00F06A77"/>
    <w:rsid w:val="00F13D33"/>
    <w:rsid w:val="00F1723E"/>
    <w:rsid w:val="00F20321"/>
    <w:rsid w:val="00F23369"/>
    <w:rsid w:val="00F2340C"/>
    <w:rsid w:val="00F26336"/>
    <w:rsid w:val="00F27098"/>
    <w:rsid w:val="00F271C2"/>
    <w:rsid w:val="00F272B0"/>
    <w:rsid w:val="00F27345"/>
    <w:rsid w:val="00F40A52"/>
    <w:rsid w:val="00F41765"/>
    <w:rsid w:val="00F4296E"/>
    <w:rsid w:val="00F42C6A"/>
    <w:rsid w:val="00F44562"/>
    <w:rsid w:val="00F44651"/>
    <w:rsid w:val="00F46D03"/>
    <w:rsid w:val="00F5189E"/>
    <w:rsid w:val="00F55DA6"/>
    <w:rsid w:val="00F56579"/>
    <w:rsid w:val="00F5664F"/>
    <w:rsid w:val="00F579EA"/>
    <w:rsid w:val="00F57C1A"/>
    <w:rsid w:val="00F646D0"/>
    <w:rsid w:val="00F65800"/>
    <w:rsid w:val="00F71DFF"/>
    <w:rsid w:val="00F73036"/>
    <w:rsid w:val="00F7669C"/>
    <w:rsid w:val="00F8224B"/>
    <w:rsid w:val="00F86D3B"/>
    <w:rsid w:val="00F91608"/>
    <w:rsid w:val="00FA1063"/>
    <w:rsid w:val="00FA44EB"/>
    <w:rsid w:val="00FA6186"/>
    <w:rsid w:val="00FB0D26"/>
    <w:rsid w:val="00FB504C"/>
    <w:rsid w:val="00FB733A"/>
    <w:rsid w:val="00FB7548"/>
    <w:rsid w:val="00FB7DE3"/>
    <w:rsid w:val="00FB7E5E"/>
    <w:rsid w:val="00FC34DE"/>
    <w:rsid w:val="00FD59AB"/>
    <w:rsid w:val="00FE1D57"/>
    <w:rsid w:val="00FE5375"/>
    <w:rsid w:val="00FF0A04"/>
    <w:rsid w:val="00FF5E27"/>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10945"/>
    <o:shapelayout v:ext="edit">
      <o:idmap v:ext="edit" data="1"/>
    </o:shapelayout>
  </w:shapeDefaults>
  <w:decimalSymbol w:val="."/>
  <w:listSeparator w:val=";"/>
  <w14:docId w14:val="2DCE9B72"/>
  <w15:docId w15:val="{A6DB2F6F-6519-42F8-BFF0-062F4D482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985"/>
    <w:pPr>
      <w:spacing w:after="0"/>
    </w:pPr>
  </w:style>
  <w:style w:type="paragraph" w:styleId="Heading1">
    <w:name w:val="heading 1"/>
    <w:basedOn w:val="Normal"/>
    <w:next w:val="Normal"/>
    <w:link w:val="Heading1Char"/>
    <w:qFormat/>
    <w:rsid w:val="003B68D9"/>
    <w:pPr>
      <w:keepNext/>
      <w:keepLines/>
      <w:numPr>
        <w:numId w:val="1"/>
      </w:numPr>
      <w:tabs>
        <w:tab w:val="left" w:pos="360"/>
      </w:tabs>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C43D4"/>
    <w:pPr>
      <w:keepNext/>
      <w:keepLines/>
      <w:numPr>
        <w:ilvl w:val="1"/>
        <w:numId w:val="1"/>
      </w:numPr>
      <w:tabs>
        <w:tab w:val="left" w:pos="432"/>
      </w:tabs>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B68D9"/>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3B68D9"/>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3B68D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B68D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3B68D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3B68D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B68D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68D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9C43D4"/>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3B68D9"/>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3B68D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3B68D9"/>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3B68D9"/>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3B68D9"/>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3B68D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B68D9"/>
    <w:rPr>
      <w:rFonts w:asciiTheme="majorHAnsi" w:eastAsiaTheme="majorEastAsia" w:hAnsiTheme="majorHAnsi" w:cstheme="majorBidi"/>
      <w:i/>
      <w:iCs/>
      <w:color w:val="272727" w:themeColor="text1" w:themeTint="D8"/>
      <w:sz w:val="21"/>
      <w:szCs w:val="21"/>
    </w:rPr>
  </w:style>
  <w:style w:type="paragraph" w:customStyle="1" w:styleId="Par2">
    <w:name w:val="Par 2"/>
    <w:basedOn w:val="Normal"/>
    <w:link w:val="Par2Car"/>
    <w:qFormat/>
    <w:rsid w:val="009C43D4"/>
    <w:pPr>
      <w:spacing w:line="240" w:lineRule="auto"/>
      <w:ind w:left="432"/>
    </w:pPr>
    <w:rPr>
      <w:lang w:val="en-US"/>
    </w:rPr>
  </w:style>
  <w:style w:type="paragraph" w:customStyle="1" w:styleId="Par3">
    <w:name w:val="Par 3"/>
    <w:basedOn w:val="ListBullet4"/>
    <w:rsid w:val="009C43D4"/>
    <w:pPr>
      <w:spacing w:line="240" w:lineRule="auto"/>
      <w:ind w:left="1224" w:firstLine="0"/>
      <w:contextualSpacing w:val="0"/>
      <w:jc w:val="both"/>
    </w:pPr>
    <w:rPr>
      <w:rFonts w:ascii="Calibri" w:eastAsia="Times New Roman" w:hAnsi="Calibri" w:cs="Times New Roman"/>
      <w:szCs w:val="24"/>
      <w:lang w:eastAsia="fr-CA"/>
    </w:rPr>
  </w:style>
  <w:style w:type="paragraph" w:styleId="ListBullet3">
    <w:name w:val="List Bullet 3"/>
    <w:basedOn w:val="Normal"/>
    <w:link w:val="ListBullet3Char"/>
    <w:rsid w:val="009C43D4"/>
    <w:pPr>
      <w:numPr>
        <w:numId w:val="3"/>
      </w:numPr>
      <w:tabs>
        <w:tab w:val="clear" w:pos="926"/>
        <w:tab w:val="left" w:pos="1584"/>
      </w:tabs>
      <w:spacing w:line="240" w:lineRule="auto"/>
      <w:ind w:left="1584"/>
    </w:pPr>
    <w:rPr>
      <w:rFonts w:ascii="Calibri" w:eastAsia="Times New Roman" w:hAnsi="Calibri" w:cs="Times New Roman"/>
      <w:szCs w:val="24"/>
      <w:lang w:eastAsia="fr-CA"/>
    </w:rPr>
  </w:style>
  <w:style w:type="character" w:customStyle="1" w:styleId="ListBullet3Char">
    <w:name w:val="List Bullet 3 Char"/>
    <w:link w:val="ListBullet3"/>
    <w:rsid w:val="009C43D4"/>
    <w:rPr>
      <w:rFonts w:ascii="Calibri" w:eastAsia="Times New Roman" w:hAnsi="Calibri" w:cs="Times New Roman"/>
      <w:szCs w:val="24"/>
      <w:lang w:eastAsia="fr-CA"/>
    </w:rPr>
  </w:style>
  <w:style w:type="paragraph" w:styleId="ListBullet4">
    <w:name w:val="List Bullet 4"/>
    <w:basedOn w:val="Normal"/>
    <w:uiPriority w:val="99"/>
    <w:semiHidden/>
    <w:unhideWhenUsed/>
    <w:rsid w:val="009C43D4"/>
    <w:pPr>
      <w:ind w:left="792" w:hanging="360"/>
      <w:contextualSpacing/>
    </w:pPr>
  </w:style>
  <w:style w:type="paragraph" w:customStyle="1" w:styleId="Liste21">
    <w:name w:val="Liste 21"/>
    <w:basedOn w:val="Par2"/>
    <w:qFormat/>
    <w:rsid w:val="009C43D4"/>
    <w:pPr>
      <w:numPr>
        <w:numId w:val="4"/>
      </w:numPr>
      <w:spacing w:after="60"/>
    </w:pPr>
  </w:style>
  <w:style w:type="paragraph" w:styleId="ListBullet2">
    <w:name w:val="List Bullet 2"/>
    <w:basedOn w:val="Normal"/>
    <w:uiPriority w:val="99"/>
    <w:unhideWhenUsed/>
    <w:rsid w:val="004818CA"/>
    <w:pPr>
      <w:numPr>
        <w:numId w:val="5"/>
      </w:numPr>
      <w:contextualSpacing/>
    </w:pPr>
  </w:style>
  <w:style w:type="character" w:customStyle="1" w:styleId="Par2Car">
    <w:name w:val="Par 2 Car"/>
    <w:basedOn w:val="DefaultParagraphFont"/>
    <w:link w:val="Par2"/>
    <w:rsid w:val="004818CA"/>
    <w:rPr>
      <w:lang w:val="en-US"/>
    </w:rPr>
  </w:style>
  <w:style w:type="paragraph" w:customStyle="1" w:styleId="Par1">
    <w:name w:val="Par 1"/>
    <w:basedOn w:val="Normal"/>
    <w:link w:val="Par1Car"/>
    <w:rsid w:val="004818CA"/>
    <w:pPr>
      <w:spacing w:line="240" w:lineRule="auto"/>
      <w:ind w:left="360"/>
    </w:pPr>
    <w:rPr>
      <w:rFonts w:ascii="Calibri" w:eastAsia="Times New Roman" w:hAnsi="Calibri" w:cs="Times New Roman"/>
      <w:szCs w:val="24"/>
      <w:lang w:eastAsia="fr-FR"/>
    </w:rPr>
  </w:style>
  <w:style w:type="character" w:customStyle="1" w:styleId="Par1Car">
    <w:name w:val="Par 1 Car"/>
    <w:link w:val="Par1"/>
    <w:rsid w:val="004818CA"/>
    <w:rPr>
      <w:rFonts w:ascii="Calibri" w:eastAsia="Times New Roman" w:hAnsi="Calibri" w:cs="Times New Roman"/>
      <w:szCs w:val="24"/>
      <w:lang w:eastAsia="fr-FR"/>
    </w:rPr>
  </w:style>
  <w:style w:type="table" w:styleId="TableGrid">
    <w:name w:val="Table Grid"/>
    <w:basedOn w:val="TableNormal"/>
    <w:uiPriority w:val="59"/>
    <w:rsid w:val="004818CA"/>
    <w:pPr>
      <w:spacing w:after="0" w:line="240" w:lineRule="auto"/>
    </w:pPr>
    <w:rPr>
      <w:rFonts w:ascii="Times New Roman" w:eastAsia="Times New Roman" w:hAnsi="Times New Roman"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C5A2D"/>
    <w:pPr>
      <w:tabs>
        <w:tab w:val="center" w:pos="4320"/>
        <w:tab w:val="right" w:pos="8640"/>
      </w:tabs>
      <w:spacing w:line="240" w:lineRule="auto"/>
    </w:pPr>
  </w:style>
  <w:style w:type="character" w:customStyle="1" w:styleId="HeaderChar">
    <w:name w:val="Header Char"/>
    <w:basedOn w:val="DefaultParagraphFont"/>
    <w:link w:val="Header"/>
    <w:uiPriority w:val="99"/>
    <w:rsid w:val="009C5A2D"/>
  </w:style>
  <w:style w:type="paragraph" w:styleId="Footer">
    <w:name w:val="footer"/>
    <w:basedOn w:val="Normal"/>
    <w:link w:val="FooterChar"/>
    <w:uiPriority w:val="99"/>
    <w:unhideWhenUsed/>
    <w:rsid w:val="009C5A2D"/>
    <w:pPr>
      <w:tabs>
        <w:tab w:val="center" w:pos="4320"/>
        <w:tab w:val="right" w:pos="8640"/>
      </w:tabs>
      <w:spacing w:line="240" w:lineRule="auto"/>
    </w:pPr>
  </w:style>
  <w:style w:type="character" w:customStyle="1" w:styleId="FooterChar">
    <w:name w:val="Footer Char"/>
    <w:basedOn w:val="DefaultParagraphFont"/>
    <w:link w:val="Footer"/>
    <w:uiPriority w:val="99"/>
    <w:rsid w:val="009C5A2D"/>
  </w:style>
  <w:style w:type="paragraph" w:styleId="TOCHeading">
    <w:name w:val="TOC Heading"/>
    <w:basedOn w:val="Heading1"/>
    <w:next w:val="Normal"/>
    <w:uiPriority w:val="39"/>
    <w:unhideWhenUsed/>
    <w:qFormat/>
    <w:rsid w:val="00432E1D"/>
    <w:pPr>
      <w:numPr>
        <w:numId w:val="0"/>
      </w:numPr>
      <w:spacing w:before="240" w:line="259" w:lineRule="auto"/>
      <w:outlineLvl w:val="9"/>
    </w:pPr>
    <w:rPr>
      <w:lang w:val="en-US"/>
    </w:rPr>
  </w:style>
  <w:style w:type="paragraph" w:styleId="TOC1">
    <w:name w:val="toc 1"/>
    <w:basedOn w:val="Normal"/>
    <w:next w:val="Normal"/>
    <w:autoRedefine/>
    <w:uiPriority w:val="39"/>
    <w:unhideWhenUsed/>
    <w:rsid w:val="00432E1D"/>
    <w:pPr>
      <w:spacing w:before="360" w:after="360"/>
    </w:pPr>
    <w:rPr>
      <w:b/>
      <w:bCs/>
      <w:caps/>
      <w:u w:val="single"/>
    </w:rPr>
  </w:style>
  <w:style w:type="paragraph" w:styleId="TOC2">
    <w:name w:val="toc 2"/>
    <w:basedOn w:val="Normal"/>
    <w:next w:val="Normal"/>
    <w:autoRedefine/>
    <w:uiPriority w:val="39"/>
    <w:unhideWhenUsed/>
    <w:rsid w:val="00432E1D"/>
    <w:rPr>
      <w:b/>
      <w:bCs/>
      <w:smallCaps/>
    </w:rPr>
  </w:style>
  <w:style w:type="character" w:styleId="Hyperlink">
    <w:name w:val="Hyperlink"/>
    <w:basedOn w:val="DefaultParagraphFont"/>
    <w:uiPriority w:val="99"/>
    <w:unhideWhenUsed/>
    <w:rsid w:val="00432E1D"/>
    <w:rPr>
      <w:color w:val="0000FF" w:themeColor="hyperlink"/>
      <w:u w:val="single"/>
    </w:rPr>
  </w:style>
  <w:style w:type="paragraph" w:styleId="TOC3">
    <w:name w:val="toc 3"/>
    <w:basedOn w:val="Normal"/>
    <w:next w:val="Normal"/>
    <w:autoRedefine/>
    <w:uiPriority w:val="39"/>
    <w:unhideWhenUsed/>
    <w:rsid w:val="00432E1D"/>
    <w:rPr>
      <w:smallCaps/>
    </w:rPr>
  </w:style>
  <w:style w:type="paragraph" w:styleId="TOC4">
    <w:name w:val="toc 4"/>
    <w:basedOn w:val="Normal"/>
    <w:next w:val="Normal"/>
    <w:autoRedefine/>
    <w:uiPriority w:val="39"/>
    <w:unhideWhenUsed/>
    <w:rsid w:val="00432E1D"/>
  </w:style>
  <w:style w:type="paragraph" w:styleId="TOC5">
    <w:name w:val="toc 5"/>
    <w:basedOn w:val="Normal"/>
    <w:next w:val="Normal"/>
    <w:autoRedefine/>
    <w:uiPriority w:val="39"/>
    <w:unhideWhenUsed/>
    <w:rsid w:val="00432E1D"/>
  </w:style>
  <w:style w:type="paragraph" w:styleId="TOC6">
    <w:name w:val="toc 6"/>
    <w:basedOn w:val="Normal"/>
    <w:next w:val="Normal"/>
    <w:autoRedefine/>
    <w:uiPriority w:val="39"/>
    <w:unhideWhenUsed/>
    <w:rsid w:val="00432E1D"/>
  </w:style>
  <w:style w:type="paragraph" w:styleId="TOC7">
    <w:name w:val="toc 7"/>
    <w:basedOn w:val="Normal"/>
    <w:next w:val="Normal"/>
    <w:autoRedefine/>
    <w:uiPriority w:val="39"/>
    <w:unhideWhenUsed/>
    <w:rsid w:val="00432E1D"/>
  </w:style>
  <w:style w:type="paragraph" w:styleId="TOC8">
    <w:name w:val="toc 8"/>
    <w:basedOn w:val="Normal"/>
    <w:next w:val="Normal"/>
    <w:autoRedefine/>
    <w:uiPriority w:val="39"/>
    <w:unhideWhenUsed/>
    <w:rsid w:val="00432E1D"/>
  </w:style>
  <w:style w:type="paragraph" w:styleId="TOC9">
    <w:name w:val="toc 9"/>
    <w:basedOn w:val="Normal"/>
    <w:next w:val="Normal"/>
    <w:autoRedefine/>
    <w:uiPriority w:val="39"/>
    <w:unhideWhenUsed/>
    <w:rsid w:val="00432E1D"/>
  </w:style>
  <w:style w:type="paragraph" w:styleId="BalloonText">
    <w:name w:val="Balloon Text"/>
    <w:basedOn w:val="Normal"/>
    <w:link w:val="BalloonTextChar"/>
    <w:uiPriority w:val="99"/>
    <w:semiHidden/>
    <w:unhideWhenUsed/>
    <w:rsid w:val="00432E1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2E1D"/>
    <w:rPr>
      <w:rFonts w:ascii="Segoe UI" w:hAnsi="Segoe UI" w:cs="Segoe UI"/>
      <w:sz w:val="18"/>
      <w:szCs w:val="18"/>
    </w:rPr>
  </w:style>
  <w:style w:type="paragraph" w:customStyle="1" w:styleId="Style1">
    <w:name w:val="Style1"/>
    <w:basedOn w:val="Normal"/>
    <w:link w:val="Style1Car"/>
    <w:qFormat/>
    <w:rsid w:val="00324F61"/>
    <w:pPr>
      <w:spacing w:line="240" w:lineRule="auto"/>
      <w:ind w:left="284"/>
      <w:jc w:val="both"/>
    </w:pPr>
    <w:rPr>
      <w:rFonts w:ascii="Calibri" w:hAnsi="Calibri" w:cstheme="majorBidi"/>
      <w:lang w:val="en-US"/>
    </w:rPr>
  </w:style>
  <w:style w:type="character" w:customStyle="1" w:styleId="Style1Car">
    <w:name w:val="Style1 Car"/>
    <w:basedOn w:val="DefaultParagraphFont"/>
    <w:link w:val="Style1"/>
    <w:rsid w:val="00324F61"/>
    <w:rPr>
      <w:rFonts w:ascii="Calibri" w:hAnsi="Calibri" w:cstheme="majorBidi"/>
      <w:lang w:val="en-US"/>
    </w:rPr>
  </w:style>
  <w:style w:type="paragraph" w:styleId="ListParagraph">
    <w:name w:val="List Paragraph"/>
    <w:basedOn w:val="Normal"/>
    <w:uiPriority w:val="34"/>
    <w:qFormat/>
    <w:rsid w:val="00AB300C"/>
    <w:pPr>
      <w:spacing w:line="240" w:lineRule="auto"/>
      <w:ind w:left="708"/>
    </w:pPr>
    <w:rPr>
      <w:rFonts w:ascii="Calibri" w:eastAsia="Times New Roman" w:hAnsi="Calibri" w:cs="Times New Roman"/>
      <w:szCs w:val="24"/>
      <w:lang w:val="fr-CA" w:eastAsia="fr-CA"/>
    </w:rPr>
  </w:style>
  <w:style w:type="paragraph" w:styleId="HTMLPreformatted">
    <w:name w:val="HTML Preformatted"/>
    <w:basedOn w:val="Normal"/>
    <w:link w:val="HTMLPreformattedChar"/>
    <w:uiPriority w:val="99"/>
    <w:semiHidden/>
    <w:unhideWhenUsed/>
    <w:rsid w:val="0056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564BB3"/>
    <w:rPr>
      <w:rFonts w:ascii="Courier New" w:eastAsia="Times New Roman" w:hAnsi="Courier New" w:cs="Courier New"/>
      <w:sz w:val="20"/>
      <w:szCs w:val="20"/>
      <w:lang w:val="en-US"/>
    </w:rPr>
  </w:style>
  <w:style w:type="paragraph" w:customStyle="1" w:styleId="Titre21">
    <w:name w:val="Titre 21"/>
    <w:basedOn w:val="Normal"/>
    <w:next w:val="Par2"/>
    <w:rsid w:val="00CD3A53"/>
    <w:pPr>
      <w:tabs>
        <w:tab w:val="left" w:pos="864"/>
        <w:tab w:val="num" w:pos="912"/>
      </w:tabs>
      <w:spacing w:line="240" w:lineRule="auto"/>
      <w:ind w:left="912" w:hanging="432"/>
    </w:pPr>
    <w:rPr>
      <w:rFonts w:ascii="Calibri" w:eastAsia="Times New Roman" w:hAnsi="Calibri" w:cs="Times New Roman"/>
      <w:b/>
      <w:caps/>
      <w:szCs w:val="24"/>
      <w:lang w:eastAsia="fr-CA"/>
    </w:rPr>
  </w:style>
  <w:style w:type="paragraph" w:customStyle="1" w:styleId="Titre31">
    <w:name w:val="Titre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eastAsia="fr-CA"/>
    </w:rPr>
  </w:style>
  <w:style w:type="paragraph" w:customStyle="1" w:styleId="Titre41">
    <w:name w:val="Titre 41"/>
    <w:basedOn w:val="Normal"/>
    <w:rsid w:val="00CD3A53"/>
    <w:pPr>
      <w:tabs>
        <w:tab w:val="num" w:pos="1800"/>
        <w:tab w:val="left" w:pos="1944"/>
      </w:tabs>
      <w:spacing w:line="240" w:lineRule="auto"/>
      <w:ind w:left="1728" w:hanging="648"/>
    </w:pPr>
    <w:rPr>
      <w:rFonts w:ascii="Calibri" w:eastAsia="Times New Roman" w:hAnsi="Calibri" w:cs="Times New Roman"/>
      <w:szCs w:val="24"/>
      <w:lang w:eastAsia="fr-CA"/>
    </w:rPr>
  </w:style>
  <w:style w:type="paragraph" w:customStyle="1" w:styleId="Titre51">
    <w:name w:val="Titre 51"/>
    <w:basedOn w:val="Normal"/>
    <w:rsid w:val="00CD3A53"/>
    <w:pPr>
      <w:tabs>
        <w:tab w:val="num" w:pos="2520"/>
      </w:tabs>
      <w:spacing w:line="240" w:lineRule="auto"/>
      <w:ind w:left="2232" w:hanging="792"/>
    </w:pPr>
    <w:rPr>
      <w:rFonts w:ascii="Calibri" w:eastAsia="Times New Roman" w:hAnsi="Calibri" w:cs="Times New Roman"/>
      <w:szCs w:val="24"/>
      <w:lang w:eastAsia="fr-CA"/>
    </w:rPr>
  </w:style>
  <w:style w:type="paragraph" w:customStyle="1" w:styleId="Heading31">
    <w:name w:val="Heading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32">
    <w:name w:val="Titre 32"/>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styleId="ListBullet5">
    <w:name w:val="List Bullet 5"/>
    <w:basedOn w:val="Normal"/>
    <w:rsid w:val="00CD3A53"/>
    <w:pPr>
      <w:numPr>
        <w:numId w:val="11"/>
      </w:numPr>
      <w:tabs>
        <w:tab w:val="clear" w:pos="1492"/>
        <w:tab w:val="left" w:pos="2664"/>
      </w:tabs>
      <w:spacing w:line="240" w:lineRule="auto"/>
      <w:ind w:left="2664"/>
    </w:pPr>
    <w:rPr>
      <w:rFonts w:ascii="Calibri" w:eastAsia="Times New Roman" w:hAnsi="Calibri" w:cs="Times New Roman"/>
      <w:szCs w:val="24"/>
      <w:lang w:eastAsia="fr-CA"/>
    </w:rPr>
  </w:style>
  <w:style w:type="character" w:styleId="Strong">
    <w:name w:val="Strong"/>
    <w:basedOn w:val="DefaultParagraphFont"/>
    <w:uiPriority w:val="22"/>
    <w:qFormat/>
    <w:rsid w:val="00BE429C"/>
    <w:rPr>
      <w:b/>
      <w:bCs/>
    </w:rPr>
  </w:style>
  <w:style w:type="character" w:styleId="CommentReference">
    <w:name w:val="annotation reference"/>
    <w:semiHidden/>
    <w:rsid w:val="00706ECD"/>
    <w:rPr>
      <w:sz w:val="16"/>
      <w:szCs w:val="16"/>
    </w:rPr>
  </w:style>
  <w:style w:type="paragraph" w:styleId="CommentText">
    <w:name w:val="annotation text"/>
    <w:basedOn w:val="Normal"/>
    <w:link w:val="CommentTextChar"/>
    <w:semiHidden/>
    <w:rsid w:val="00706ECD"/>
    <w:pPr>
      <w:spacing w:line="240" w:lineRule="auto"/>
    </w:pPr>
    <w:rPr>
      <w:rFonts w:ascii="Calibri" w:eastAsia="Times New Roman" w:hAnsi="Calibri" w:cs="Times New Roman"/>
      <w:sz w:val="20"/>
      <w:szCs w:val="20"/>
      <w:lang w:eastAsia="fr-FR"/>
    </w:rPr>
  </w:style>
  <w:style w:type="character" w:customStyle="1" w:styleId="CommentTextChar">
    <w:name w:val="Comment Text Char"/>
    <w:basedOn w:val="DefaultParagraphFont"/>
    <w:link w:val="CommentText"/>
    <w:semiHidden/>
    <w:rsid w:val="00706ECD"/>
    <w:rPr>
      <w:rFonts w:ascii="Calibri" w:eastAsia="Times New Roman" w:hAnsi="Calibri" w:cs="Times New Roman"/>
      <w:sz w:val="20"/>
      <w:szCs w:val="20"/>
      <w:lang w:eastAsia="fr-FR"/>
    </w:rPr>
  </w:style>
  <w:style w:type="paragraph" w:styleId="EndnoteText">
    <w:name w:val="endnote text"/>
    <w:basedOn w:val="Normal"/>
    <w:link w:val="EndnoteTextChar"/>
    <w:uiPriority w:val="99"/>
    <w:semiHidden/>
    <w:unhideWhenUsed/>
    <w:rsid w:val="003554F8"/>
    <w:pPr>
      <w:spacing w:line="240" w:lineRule="auto"/>
    </w:pPr>
    <w:rPr>
      <w:sz w:val="20"/>
      <w:szCs w:val="20"/>
    </w:rPr>
  </w:style>
  <w:style w:type="character" w:customStyle="1" w:styleId="EndnoteTextChar">
    <w:name w:val="Endnote Text Char"/>
    <w:basedOn w:val="DefaultParagraphFont"/>
    <w:link w:val="EndnoteText"/>
    <w:uiPriority w:val="99"/>
    <w:semiHidden/>
    <w:rsid w:val="003554F8"/>
    <w:rPr>
      <w:sz w:val="20"/>
      <w:szCs w:val="20"/>
    </w:rPr>
  </w:style>
  <w:style w:type="character" w:styleId="EndnoteReference">
    <w:name w:val="endnote reference"/>
    <w:basedOn w:val="DefaultParagraphFont"/>
    <w:uiPriority w:val="99"/>
    <w:semiHidden/>
    <w:unhideWhenUsed/>
    <w:rsid w:val="003554F8"/>
    <w:rPr>
      <w:vertAlign w:val="superscript"/>
    </w:rPr>
  </w:style>
  <w:style w:type="paragraph" w:styleId="FootnoteText">
    <w:name w:val="footnote text"/>
    <w:basedOn w:val="Normal"/>
    <w:link w:val="FootnoteTextChar"/>
    <w:uiPriority w:val="99"/>
    <w:semiHidden/>
    <w:unhideWhenUsed/>
    <w:rsid w:val="003554F8"/>
    <w:pPr>
      <w:spacing w:line="240" w:lineRule="auto"/>
    </w:pPr>
    <w:rPr>
      <w:sz w:val="20"/>
      <w:szCs w:val="20"/>
    </w:rPr>
  </w:style>
  <w:style w:type="character" w:customStyle="1" w:styleId="FootnoteTextChar">
    <w:name w:val="Footnote Text Char"/>
    <w:basedOn w:val="DefaultParagraphFont"/>
    <w:link w:val="FootnoteText"/>
    <w:uiPriority w:val="99"/>
    <w:semiHidden/>
    <w:rsid w:val="003554F8"/>
    <w:rPr>
      <w:sz w:val="20"/>
      <w:szCs w:val="20"/>
    </w:rPr>
  </w:style>
  <w:style w:type="character" w:styleId="FootnoteReference">
    <w:name w:val="footnote reference"/>
    <w:basedOn w:val="DefaultParagraphFont"/>
    <w:uiPriority w:val="99"/>
    <w:semiHidden/>
    <w:unhideWhenUsed/>
    <w:rsid w:val="003554F8"/>
    <w:rPr>
      <w:vertAlign w:val="superscript"/>
    </w:rPr>
  </w:style>
  <w:style w:type="character" w:customStyle="1" w:styleId="apple-converted-space">
    <w:name w:val="apple-converted-space"/>
    <w:basedOn w:val="DefaultParagraphFont"/>
    <w:rsid w:val="003A1F71"/>
  </w:style>
  <w:style w:type="character" w:styleId="Emphasis">
    <w:name w:val="Emphasis"/>
    <w:basedOn w:val="DefaultParagraphFont"/>
    <w:uiPriority w:val="20"/>
    <w:qFormat/>
    <w:rsid w:val="003A1F71"/>
    <w:rPr>
      <w:i/>
      <w:iCs/>
    </w:rPr>
  </w:style>
  <w:style w:type="paragraph" w:customStyle="1" w:styleId="Titre22">
    <w:name w:val="Titre 22"/>
    <w:basedOn w:val="Normal"/>
    <w:next w:val="Par2"/>
    <w:rsid w:val="007B7E0D"/>
    <w:pPr>
      <w:tabs>
        <w:tab w:val="left" w:pos="864"/>
        <w:tab w:val="num" w:pos="912"/>
      </w:tabs>
      <w:spacing w:line="240" w:lineRule="auto"/>
      <w:ind w:left="912" w:hanging="432"/>
    </w:pPr>
    <w:rPr>
      <w:rFonts w:ascii="Calibri" w:eastAsia="Times New Roman" w:hAnsi="Calibri" w:cs="Times New Roman"/>
      <w:caps/>
      <w:szCs w:val="24"/>
      <w:lang w:val="fr-CA" w:eastAsia="fr-CA"/>
    </w:rPr>
  </w:style>
  <w:style w:type="paragraph" w:customStyle="1" w:styleId="Titre33">
    <w:name w:val="Titre 33"/>
    <w:basedOn w:val="Normal"/>
    <w:next w:val="Par3"/>
    <w:rsid w:val="007B7E0D"/>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42">
    <w:name w:val="Titre 42"/>
    <w:basedOn w:val="Normal"/>
    <w:rsid w:val="007B7E0D"/>
    <w:pPr>
      <w:tabs>
        <w:tab w:val="num" w:pos="1800"/>
        <w:tab w:val="left" w:pos="1944"/>
      </w:tabs>
      <w:spacing w:line="240" w:lineRule="auto"/>
      <w:ind w:left="1728" w:hanging="648"/>
    </w:pPr>
    <w:rPr>
      <w:rFonts w:ascii="Calibri" w:eastAsia="Times New Roman" w:hAnsi="Calibri" w:cs="Times New Roman"/>
      <w:szCs w:val="24"/>
      <w:lang w:val="fr-CA" w:eastAsia="fr-CA"/>
    </w:rPr>
  </w:style>
  <w:style w:type="paragraph" w:customStyle="1" w:styleId="Titre52">
    <w:name w:val="Titre 52"/>
    <w:basedOn w:val="Normal"/>
    <w:rsid w:val="007B7E0D"/>
    <w:pPr>
      <w:tabs>
        <w:tab w:val="num" w:pos="2520"/>
      </w:tabs>
      <w:spacing w:line="240" w:lineRule="auto"/>
      <w:ind w:left="2232" w:hanging="792"/>
    </w:pPr>
    <w:rPr>
      <w:rFonts w:ascii="Calibri" w:eastAsia="Times New Roman" w:hAnsi="Calibri" w:cs="Times New Roman"/>
      <w:szCs w:val="24"/>
      <w:lang w:val="fr-CA" w:eastAsia="fr-CA"/>
    </w:rPr>
  </w:style>
  <w:style w:type="paragraph" w:styleId="CommentSubject">
    <w:name w:val="annotation subject"/>
    <w:basedOn w:val="CommentText"/>
    <w:next w:val="CommentText"/>
    <w:link w:val="CommentSubjectChar"/>
    <w:uiPriority w:val="99"/>
    <w:semiHidden/>
    <w:unhideWhenUsed/>
    <w:rsid w:val="00BB5024"/>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BB5024"/>
    <w:rPr>
      <w:rFonts w:ascii="Calibri" w:eastAsia="Times New Roman" w:hAnsi="Calibri" w:cs="Times New Roman"/>
      <w:b/>
      <w:bCs/>
      <w:sz w:val="20"/>
      <w:szCs w:val="20"/>
      <w:lang w:eastAsia="fr-FR"/>
    </w:rPr>
  </w:style>
  <w:style w:type="paragraph" w:styleId="Revision">
    <w:name w:val="Revision"/>
    <w:hidden/>
    <w:uiPriority w:val="99"/>
    <w:semiHidden/>
    <w:rsid w:val="00502930"/>
    <w:pPr>
      <w:spacing w:after="0" w:line="240" w:lineRule="auto"/>
    </w:pPr>
  </w:style>
  <w:style w:type="character" w:customStyle="1" w:styleId="y2iqfc">
    <w:name w:val="y2iqfc"/>
    <w:basedOn w:val="DefaultParagraphFont"/>
    <w:rsid w:val="00924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74869">
      <w:bodyDiv w:val="1"/>
      <w:marLeft w:val="0"/>
      <w:marRight w:val="0"/>
      <w:marTop w:val="0"/>
      <w:marBottom w:val="0"/>
      <w:divBdr>
        <w:top w:val="none" w:sz="0" w:space="0" w:color="auto"/>
        <w:left w:val="none" w:sz="0" w:space="0" w:color="auto"/>
        <w:bottom w:val="none" w:sz="0" w:space="0" w:color="auto"/>
        <w:right w:val="none" w:sz="0" w:space="0" w:color="auto"/>
      </w:divBdr>
    </w:div>
    <w:div w:id="77556780">
      <w:bodyDiv w:val="1"/>
      <w:marLeft w:val="0"/>
      <w:marRight w:val="0"/>
      <w:marTop w:val="0"/>
      <w:marBottom w:val="0"/>
      <w:divBdr>
        <w:top w:val="none" w:sz="0" w:space="0" w:color="auto"/>
        <w:left w:val="none" w:sz="0" w:space="0" w:color="auto"/>
        <w:bottom w:val="none" w:sz="0" w:space="0" w:color="auto"/>
        <w:right w:val="none" w:sz="0" w:space="0" w:color="auto"/>
      </w:divBdr>
    </w:div>
    <w:div w:id="151989386">
      <w:bodyDiv w:val="1"/>
      <w:marLeft w:val="0"/>
      <w:marRight w:val="0"/>
      <w:marTop w:val="0"/>
      <w:marBottom w:val="0"/>
      <w:divBdr>
        <w:top w:val="none" w:sz="0" w:space="0" w:color="auto"/>
        <w:left w:val="none" w:sz="0" w:space="0" w:color="auto"/>
        <w:bottom w:val="none" w:sz="0" w:space="0" w:color="auto"/>
        <w:right w:val="none" w:sz="0" w:space="0" w:color="auto"/>
      </w:divBdr>
    </w:div>
    <w:div w:id="242299237">
      <w:bodyDiv w:val="1"/>
      <w:marLeft w:val="0"/>
      <w:marRight w:val="0"/>
      <w:marTop w:val="0"/>
      <w:marBottom w:val="0"/>
      <w:divBdr>
        <w:top w:val="none" w:sz="0" w:space="0" w:color="auto"/>
        <w:left w:val="none" w:sz="0" w:space="0" w:color="auto"/>
        <w:bottom w:val="none" w:sz="0" w:space="0" w:color="auto"/>
        <w:right w:val="none" w:sz="0" w:space="0" w:color="auto"/>
      </w:divBdr>
    </w:div>
    <w:div w:id="736587837">
      <w:bodyDiv w:val="1"/>
      <w:marLeft w:val="0"/>
      <w:marRight w:val="0"/>
      <w:marTop w:val="0"/>
      <w:marBottom w:val="0"/>
      <w:divBdr>
        <w:top w:val="none" w:sz="0" w:space="0" w:color="auto"/>
        <w:left w:val="none" w:sz="0" w:space="0" w:color="auto"/>
        <w:bottom w:val="none" w:sz="0" w:space="0" w:color="auto"/>
        <w:right w:val="none" w:sz="0" w:space="0" w:color="auto"/>
      </w:divBdr>
    </w:div>
    <w:div w:id="944845777">
      <w:bodyDiv w:val="1"/>
      <w:marLeft w:val="0"/>
      <w:marRight w:val="0"/>
      <w:marTop w:val="0"/>
      <w:marBottom w:val="0"/>
      <w:divBdr>
        <w:top w:val="none" w:sz="0" w:space="0" w:color="auto"/>
        <w:left w:val="none" w:sz="0" w:space="0" w:color="auto"/>
        <w:bottom w:val="none" w:sz="0" w:space="0" w:color="auto"/>
        <w:right w:val="none" w:sz="0" w:space="0" w:color="auto"/>
      </w:divBdr>
    </w:div>
    <w:div w:id="1008361650">
      <w:bodyDiv w:val="1"/>
      <w:marLeft w:val="0"/>
      <w:marRight w:val="0"/>
      <w:marTop w:val="0"/>
      <w:marBottom w:val="0"/>
      <w:divBdr>
        <w:top w:val="none" w:sz="0" w:space="0" w:color="auto"/>
        <w:left w:val="none" w:sz="0" w:space="0" w:color="auto"/>
        <w:bottom w:val="none" w:sz="0" w:space="0" w:color="auto"/>
        <w:right w:val="none" w:sz="0" w:space="0" w:color="auto"/>
      </w:divBdr>
    </w:div>
    <w:div w:id="1102267384">
      <w:bodyDiv w:val="1"/>
      <w:marLeft w:val="0"/>
      <w:marRight w:val="0"/>
      <w:marTop w:val="0"/>
      <w:marBottom w:val="0"/>
      <w:divBdr>
        <w:top w:val="none" w:sz="0" w:space="0" w:color="auto"/>
        <w:left w:val="none" w:sz="0" w:space="0" w:color="auto"/>
        <w:bottom w:val="none" w:sz="0" w:space="0" w:color="auto"/>
        <w:right w:val="none" w:sz="0" w:space="0" w:color="auto"/>
      </w:divBdr>
    </w:div>
    <w:div w:id="1165053101">
      <w:bodyDiv w:val="1"/>
      <w:marLeft w:val="0"/>
      <w:marRight w:val="0"/>
      <w:marTop w:val="0"/>
      <w:marBottom w:val="0"/>
      <w:divBdr>
        <w:top w:val="none" w:sz="0" w:space="0" w:color="auto"/>
        <w:left w:val="none" w:sz="0" w:space="0" w:color="auto"/>
        <w:bottom w:val="none" w:sz="0" w:space="0" w:color="auto"/>
        <w:right w:val="none" w:sz="0" w:space="0" w:color="auto"/>
      </w:divBdr>
    </w:div>
    <w:div w:id="1172143384">
      <w:bodyDiv w:val="1"/>
      <w:marLeft w:val="0"/>
      <w:marRight w:val="0"/>
      <w:marTop w:val="0"/>
      <w:marBottom w:val="0"/>
      <w:divBdr>
        <w:top w:val="none" w:sz="0" w:space="0" w:color="auto"/>
        <w:left w:val="none" w:sz="0" w:space="0" w:color="auto"/>
        <w:bottom w:val="none" w:sz="0" w:space="0" w:color="auto"/>
        <w:right w:val="none" w:sz="0" w:space="0" w:color="auto"/>
      </w:divBdr>
    </w:div>
    <w:div w:id="1223562902">
      <w:bodyDiv w:val="1"/>
      <w:marLeft w:val="0"/>
      <w:marRight w:val="0"/>
      <w:marTop w:val="0"/>
      <w:marBottom w:val="0"/>
      <w:divBdr>
        <w:top w:val="none" w:sz="0" w:space="0" w:color="auto"/>
        <w:left w:val="none" w:sz="0" w:space="0" w:color="auto"/>
        <w:bottom w:val="none" w:sz="0" w:space="0" w:color="auto"/>
        <w:right w:val="none" w:sz="0" w:space="0" w:color="auto"/>
      </w:divBdr>
    </w:div>
    <w:div w:id="1270549485">
      <w:bodyDiv w:val="1"/>
      <w:marLeft w:val="0"/>
      <w:marRight w:val="0"/>
      <w:marTop w:val="0"/>
      <w:marBottom w:val="0"/>
      <w:divBdr>
        <w:top w:val="none" w:sz="0" w:space="0" w:color="auto"/>
        <w:left w:val="none" w:sz="0" w:space="0" w:color="auto"/>
        <w:bottom w:val="none" w:sz="0" w:space="0" w:color="auto"/>
        <w:right w:val="none" w:sz="0" w:space="0" w:color="auto"/>
      </w:divBdr>
    </w:div>
    <w:div w:id="1291130931">
      <w:bodyDiv w:val="1"/>
      <w:marLeft w:val="0"/>
      <w:marRight w:val="0"/>
      <w:marTop w:val="0"/>
      <w:marBottom w:val="0"/>
      <w:divBdr>
        <w:top w:val="none" w:sz="0" w:space="0" w:color="auto"/>
        <w:left w:val="none" w:sz="0" w:space="0" w:color="auto"/>
        <w:bottom w:val="none" w:sz="0" w:space="0" w:color="auto"/>
        <w:right w:val="none" w:sz="0" w:space="0" w:color="auto"/>
      </w:divBdr>
    </w:div>
    <w:div w:id="1431899577">
      <w:bodyDiv w:val="1"/>
      <w:marLeft w:val="0"/>
      <w:marRight w:val="0"/>
      <w:marTop w:val="0"/>
      <w:marBottom w:val="0"/>
      <w:divBdr>
        <w:top w:val="none" w:sz="0" w:space="0" w:color="auto"/>
        <w:left w:val="none" w:sz="0" w:space="0" w:color="auto"/>
        <w:bottom w:val="none" w:sz="0" w:space="0" w:color="auto"/>
        <w:right w:val="none" w:sz="0" w:space="0" w:color="auto"/>
      </w:divBdr>
    </w:div>
    <w:div w:id="1447236531">
      <w:bodyDiv w:val="1"/>
      <w:marLeft w:val="0"/>
      <w:marRight w:val="0"/>
      <w:marTop w:val="0"/>
      <w:marBottom w:val="0"/>
      <w:divBdr>
        <w:top w:val="none" w:sz="0" w:space="0" w:color="auto"/>
        <w:left w:val="none" w:sz="0" w:space="0" w:color="auto"/>
        <w:bottom w:val="none" w:sz="0" w:space="0" w:color="auto"/>
        <w:right w:val="none" w:sz="0" w:space="0" w:color="auto"/>
      </w:divBdr>
    </w:div>
    <w:div w:id="1485008282">
      <w:bodyDiv w:val="1"/>
      <w:marLeft w:val="0"/>
      <w:marRight w:val="0"/>
      <w:marTop w:val="0"/>
      <w:marBottom w:val="0"/>
      <w:divBdr>
        <w:top w:val="none" w:sz="0" w:space="0" w:color="auto"/>
        <w:left w:val="none" w:sz="0" w:space="0" w:color="auto"/>
        <w:bottom w:val="none" w:sz="0" w:space="0" w:color="auto"/>
        <w:right w:val="none" w:sz="0" w:space="0" w:color="auto"/>
      </w:divBdr>
    </w:div>
    <w:div w:id="1706174108">
      <w:bodyDiv w:val="1"/>
      <w:marLeft w:val="0"/>
      <w:marRight w:val="0"/>
      <w:marTop w:val="0"/>
      <w:marBottom w:val="0"/>
      <w:divBdr>
        <w:top w:val="none" w:sz="0" w:space="0" w:color="auto"/>
        <w:left w:val="none" w:sz="0" w:space="0" w:color="auto"/>
        <w:bottom w:val="none" w:sz="0" w:space="0" w:color="auto"/>
        <w:right w:val="none" w:sz="0" w:space="0" w:color="auto"/>
      </w:divBdr>
    </w:div>
    <w:div w:id="1734817346">
      <w:bodyDiv w:val="1"/>
      <w:marLeft w:val="0"/>
      <w:marRight w:val="0"/>
      <w:marTop w:val="0"/>
      <w:marBottom w:val="0"/>
      <w:divBdr>
        <w:top w:val="none" w:sz="0" w:space="0" w:color="auto"/>
        <w:left w:val="none" w:sz="0" w:space="0" w:color="auto"/>
        <w:bottom w:val="none" w:sz="0" w:space="0" w:color="auto"/>
        <w:right w:val="none" w:sz="0" w:space="0" w:color="auto"/>
      </w:divBdr>
    </w:div>
    <w:div w:id="1735859783">
      <w:bodyDiv w:val="1"/>
      <w:marLeft w:val="0"/>
      <w:marRight w:val="0"/>
      <w:marTop w:val="0"/>
      <w:marBottom w:val="0"/>
      <w:divBdr>
        <w:top w:val="none" w:sz="0" w:space="0" w:color="auto"/>
        <w:left w:val="none" w:sz="0" w:space="0" w:color="auto"/>
        <w:bottom w:val="none" w:sz="0" w:space="0" w:color="auto"/>
        <w:right w:val="none" w:sz="0" w:space="0" w:color="auto"/>
      </w:divBdr>
    </w:div>
    <w:div w:id="1769615381">
      <w:bodyDiv w:val="1"/>
      <w:marLeft w:val="0"/>
      <w:marRight w:val="0"/>
      <w:marTop w:val="0"/>
      <w:marBottom w:val="0"/>
      <w:divBdr>
        <w:top w:val="none" w:sz="0" w:space="0" w:color="auto"/>
        <w:left w:val="none" w:sz="0" w:space="0" w:color="auto"/>
        <w:bottom w:val="none" w:sz="0" w:space="0" w:color="auto"/>
        <w:right w:val="none" w:sz="0" w:space="0" w:color="auto"/>
      </w:divBdr>
    </w:div>
    <w:div w:id="1808621419">
      <w:bodyDiv w:val="1"/>
      <w:marLeft w:val="0"/>
      <w:marRight w:val="0"/>
      <w:marTop w:val="0"/>
      <w:marBottom w:val="0"/>
      <w:divBdr>
        <w:top w:val="none" w:sz="0" w:space="0" w:color="auto"/>
        <w:left w:val="none" w:sz="0" w:space="0" w:color="auto"/>
        <w:bottom w:val="none" w:sz="0" w:space="0" w:color="auto"/>
        <w:right w:val="none" w:sz="0" w:space="0" w:color="auto"/>
      </w:divBdr>
    </w:div>
    <w:div w:id="1814986597">
      <w:bodyDiv w:val="1"/>
      <w:marLeft w:val="0"/>
      <w:marRight w:val="0"/>
      <w:marTop w:val="0"/>
      <w:marBottom w:val="0"/>
      <w:divBdr>
        <w:top w:val="none" w:sz="0" w:space="0" w:color="auto"/>
        <w:left w:val="none" w:sz="0" w:space="0" w:color="auto"/>
        <w:bottom w:val="none" w:sz="0" w:space="0" w:color="auto"/>
        <w:right w:val="none" w:sz="0" w:space="0" w:color="auto"/>
      </w:divBdr>
    </w:div>
    <w:div w:id="1959752937">
      <w:bodyDiv w:val="1"/>
      <w:marLeft w:val="0"/>
      <w:marRight w:val="0"/>
      <w:marTop w:val="0"/>
      <w:marBottom w:val="0"/>
      <w:divBdr>
        <w:top w:val="none" w:sz="0" w:space="0" w:color="auto"/>
        <w:left w:val="none" w:sz="0" w:space="0" w:color="auto"/>
        <w:bottom w:val="none" w:sz="0" w:space="0" w:color="auto"/>
        <w:right w:val="none" w:sz="0" w:space="0" w:color="auto"/>
      </w:divBdr>
    </w:div>
    <w:div w:id="2010987438">
      <w:bodyDiv w:val="1"/>
      <w:marLeft w:val="0"/>
      <w:marRight w:val="0"/>
      <w:marTop w:val="0"/>
      <w:marBottom w:val="0"/>
      <w:divBdr>
        <w:top w:val="none" w:sz="0" w:space="0" w:color="auto"/>
        <w:left w:val="none" w:sz="0" w:space="0" w:color="auto"/>
        <w:bottom w:val="none" w:sz="0" w:space="0" w:color="auto"/>
        <w:right w:val="none" w:sz="0" w:space="0" w:color="auto"/>
      </w:divBdr>
    </w:div>
    <w:div w:id="2024552103">
      <w:bodyDiv w:val="1"/>
      <w:marLeft w:val="0"/>
      <w:marRight w:val="0"/>
      <w:marTop w:val="0"/>
      <w:marBottom w:val="0"/>
      <w:divBdr>
        <w:top w:val="none" w:sz="0" w:space="0" w:color="auto"/>
        <w:left w:val="none" w:sz="0" w:space="0" w:color="auto"/>
        <w:bottom w:val="none" w:sz="0" w:space="0" w:color="auto"/>
        <w:right w:val="none" w:sz="0" w:space="0" w:color="auto"/>
      </w:divBdr>
    </w:div>
    <w:div w:id="202960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4C749-5CFA-4422-B4A6-451F7F349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550</TotalTime>
  <Pages>7</Pages>
  <Words>1719</Words>
  <Characters>9800</Characters>
  <Application>Microsoft Office Word</Application>
  <DocSecurity>0</DocSecurity>
  <Lines>81</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TMX Group Limited</Company>
  <LinksUpToDate>false</LinksUpToDate>
  <CharactersWithSpaces>11497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Valérie Cellier</dc:creator>
  <cp:lastModifiedBy>Olivier Charron</cp:lastModifiedBy>
  <cp:revision>96</cp:revision>
  <cp:lastPrinted>2021-06-30T14:43:00Z</cp:lastPrinted>
  <dcterms:created xsi:type="dcterms:W3CDTF">2016-02-12T14:00:00Z</dcterms:created>
  <dcterms:modified xsi:type="dcterms:W3CDTF">2025-08-21T15:02:00Z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oFAAspTNh41gn7DZ5vdB/v5WOaWbfNh3A9gub24qirehi5F02fUsGfcGiEQtElxHopfJ2khVd1FOC8fj
e6mjuqH9uhIJ3f81AqQ7FuoRtEHxnSjcaQDNUuaCDHo/Jd0dmAvm1YYld6NTUpnje6mjuqH9uhIJ
3f81AqQ7FuoRtEHxnSjcaQDNUuaCDAtTMI723Atk/zSV6CBWadFKbNmKKLU/WHzcUvS+kjw1+W14
dAi+fY1bunwtMAv/8</vt:lpwstr>
  </property>
  <property fmtid="{D5CDD505-2E9C-101B-9397-08002B2CF9AE}" pid="3" name="MAIL_MSG_ID2">
    <vt:lpwstr>EQt3ocTjwEPggq7IhdGJozFzvi0e6bZBH7pFAXEoZgd1GcBVGAdqjhPGofS
8+UuMuJyIb9G7bEhJ962vKbxiCt8F0Cs2ITK/j9z37eRbKCZ</vt:lpwstr>
  </property>
  <property fmtid="{D5CDD505-2E9C-101B-9397-08002B2CF9AE}" pid="4" name="RESPONSE_SENDER_NAME">
    <vt:lpwstr>sAAAE9kkUq3pEoIiUgBw/HMmyu6glVZ21Qc/4gaVsFFC1gs=</vt:lpwstr>
  </property>
  <property fmtid="{D5CDD505-2E9C-101B-9397-08002B2CF9AE}" pid="5" name="EMAIL_OWNER_ADDRESS">
    <vt:lpwstr>4AAA9DNYQidmug7ucCjeuzhzM20XVIeo8gJV5U3NEfHFla25uGxani+/bQ==</vt:lpwstr>
  </property>
</Properties>
</file>