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en-US"/>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3B50D136" w:rsidR="00BB54BE" w:rsidRDefault="00854930" w:rsidP="00226D3D">
      <w:pPr>
        <w:jc w:val="center"/>
        <w:rPr>
          <w:b/>
          <w:color w:val="365F91" w:themeColor="accent1" w:themeShade="BF"/>
          <w:sz w:val="28"/>
          <w:lang w:val="fr-CA"/>
        </w:rPr>
      </w:pPr>
      <w:r>
        <w:rPr>
          <w:b/>
          <w:color w:val="365F91" w:themeColor="accent1" w:themeShade="BF"/>
          <w:sz w:val="28"/>
          <w:lang w:val="fr-CA"/>
        </w:rPr>
        <w:t>T</w:t>
      </w:r>
      <w:r w:rsidR="004B262B">
        <w:rPr>
          <w:b/>
          <w:color w:val="365F91" w:themeColor="accent1" w:themeShade="BF"/>
          <w:sz w:val="28"/>
          <w:lang w:val="fr-CA"/>
        </w:rPr>
        <w:t>3</w:t>
      </w:r>
      <w:r w:rsidR="006178B3">
        <w:rPr>
          <w:b/>
          <w:color w:val="365F91" w:themeColor="accent1" w:themeShade="BF"/>
          <w:sz w:val="28"/>
          <w:lang w:val="fr-CA"/>
        </w:rPr>
        <w:t xml:space="preserve"> 202</w:t>
      </w:r>
      <w:r w:rsidR="00F23369">
        <w:rPr>
          <w:b/>
          <w:color w:val="365F91" w:themeColor="accent1" w:themeShade="BF"/>
          <w:sz w:val="28"/>
          <w:lang w:val="fr-CA"/>
        </w:rPr>
        <w:t>4</w:t>
      </w:r>
    </w:p>
    <w:p w14:paraId="431FF0F9" w14:textId="0AE70296" w:rsidR="00173E63" w:rsidRDefault="00173E63" w:rsidP="00226D3D">
      <w:pPr>
        <w:jc w:val="center"/>
        <w:rPr>
          <w:b/>
          <w:color w:val="365F91" w:themeColor="accent1" w:themeShade="BF"/>
          <w:sz w:val="28"/>
          <w:lang w:val="fr-CA"/>
        </w:rPr>
      </w:pPr>
    </w:p>
    <w:p w14:paraId="5B5AF9E0" w14:textId="68546A85" w:rsidR="00173E63" w:rsidRDefault="00173E63" w:rsidP="00226D3D">
      <w:pPr>
        <w:jc w:val="center"/>
        <w:rPr>
          <w:b/>
          <w:color w:val="365F91" w:themeColor="accent1" w:themeShade="BF"/>
          <w:sz w:val="28"/>
          <w:lang w:val="fr-CA"/>
        </w:rPr>
      </w:pPr>
    </w:p>
    <w:p w14:paraId="5CAFBA6F" w14:textId="77777777" w:rsidR="00F20321" w:rsidRDefault="00F20321" w:rsidP="00F20321">
      <w:pPr>
        <w:spacing w:after="200"/>
        <w:jc w:val="both"/>
        <w:rPr>
          <w:b/>
          <w:color w:val="365F91" w:themeColor="accent1" w:themeShade="BF"/>
          <w:sz w:val="28"/>
          <w:lang w:val="fr-FR"/>
        </w:rPr>
      </w:pPr>
      <w:r w:rsidRPr="00F20321">
        <w:rPr>
          <w:b/>
          <w:color w:val="365F91" w:themeColor="accent1" w:themeShade="BF"/>
          <w:sz w:val="28"/>
          <w:lang w:val="fr-FR"/>
        </w:rPr>
        <w:t>Avertissement</w:t>
      </w:r>
    </w:p>
    <w:p w14:paraId="354ABA89" w14:textId="7436282A" w:rsidR="00173E63" w:rsidRPr="00636A2D" w:rsidRDefault="00173E63" w:rsidP="00173E63">
      <w:pPr>
        <w:spacing w:after="200"/>
        <w:ind w:firstLine="720"/>
        <w:jc w:val="both"/>
        <w:rPr>
          <w:rFonts w:ascii="Calibri" w:eastAsia="Times New Roman" w:hAnsi="Calibri" w:cs="Times New Roman"/>
          <w:color w:val="000000"/>
          <w:szCs w:val="24"/>
          <w:lang w:val="fr-CA" w:eastAsia="fr-CA"/>
        </w:rPr>
      </w:pPr>
      <w:r w:rsidRPr="00F20321">
        <w:rPr>
          <w:rFonts w:ascii="Calibri" w:eastAsia="Times New Roman" w:hAnsi="Calibri" w:cs="Times New Roman"/>
          <w:color w:val="000000"/>
          <w:szCs w:val="24"/>
          <w:lang w:val="fr-FR" w:eastAsia="fr-CA"/>
        </w:rPr>
        <w:t xml:space="preserve">Bien que toute la diligence raisonnable ait été apportée à la préparation du présent document, la Corporation canadienne de compensation de produits dérivés (CDCC), la Bourse de Montréal, le Groupe TMX, les membres de ce groupe, leurs administrateurs ni aucune autre personne ne font de déclaration et n’offrent de garantie, expresse ou tacite, quant à l’exactitude, à l’exhaustivité et à la fidélité des renseignements et des avis qui y figurent, et ils déclinent toute responsabilité à cet égard. </w:t>
      </w:r>
      <w:r w:rsidRPr="00636A2D">
        <w:rPr>
          <w:rFonts w:ascii="Calibri" w:eastAsia="Times New Roman" w:hAnsi="Calibri" w:cs="Times New Roman"/>
          <w:color w:val="000000"/>
          <w:szCs w:val="24"/>
          <w:lang w:val="fr-CA" w:eastAsia="fr-CA"/>
        </w:rPr>
        <w:t>Le présent document a été établi aux seules fins d’information et de discussion; les avis qui y sont exprimés sont exclusivement ceux de la CDCC. L’information contenue dans le présent document ne peut être modifiée de quelque façon que ce soit. Vous êtes exclusivement responsable de toutes les conséquences découlant de votre utilisation du présent document et de l’information qui se trouve dans le présent site Web. La CDCC décline toute responsabilité à l’égard des dommages, qu’ils soient directs, indirects, spéciaux, accessoires ou d’une autre nature, quelle qu’en soit la cause, qui pourraient découler de l’utilisation du présent document et du présent site Web ou en lien avec l’information de ce document ou de ce site Web. Les lois de la province de Québec et celles du Canada qui sont applicables régissent l’utilisation, l’interprétation et la validité du présent document ainsi que l’effet des modalités d’utilisation du présent document, et ce, sans égard aux conflits de dispositions juridiques et indépendamment de votre territoire de domicile ou de résidence ou de l’endroit où vous vous trouvez. Vous convenez par les présentes vous en remettre à la compétence exclusive des tribunaux de la province de Québec en cas d’action en justice ou de poursuite relative à l’utilisation du présent document. Vous reconnaissez que la CDCC peut modifier, remanier, réviser ou retirer toute information fournie dans le présent document ou dans le présent site Web après sa publication ou la communication de l’information. Le contenu de ce document ou du site Web ne peut être reproduit, republié ou transmis, en tout ou en partie, sous quelque forme ou par quelque moyen que ce soit, sans le consentement écrit préalable de la CDCC. La CDCC se réserve le droit de modifier le présent document en tout temps, sans préavis.</w:t>
      </w:r>
    </w:p>
    <w:p w14:paraId="09875865" w14:textId="25B7171C" w:rsidR="00173E63" w:rsidRDefault="00173E63" w:rsidP="00226D3D">
      <w:pPr>
        <w:jc w:val="center"/>
        <w:rPr>
          <w:b/>
          <w:color w:val="365F91" w:themeColor="accent1" w:themeShade="BF"/>
          <w:sz w:val="28"/>
          <w:lang w:val="fr-CA"/>
        </w:rPr>
      </w:pPr>
    </w:p>
    <w:p w14:paraId="7BFE4211" w14:textId="77777777" w:rsidR="00173E63" w:rsidRPr="001C0132" w:rsidRDefault="00173E63" w:rsidP="00173E63">
      <w:pPr>
        <w:jc w:val="both"/>
        <w:rPr>
          <w:b/>
          <w:color w:val="365F91" w:themeColor="accent1" w:themeShade="BF"/>
          <w:sz w:val="28"/>
          <w:lang w:val="fr-CA"/>
        </w:rPr>
        <w:sectPr w:rsidR="00173E63" w:rsidRPr="001C0132">
          <w:pgSz w:w="12240" w:h="15840"/>
          <w:pgMar w:top="1296" w:right="1296" w:bottom="1296" w:left="1296" w:header="720" w:footer="720" w:gutter="0"/>
          <w:cols w:space="720"/>
        </w:sect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7A2985"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7A2985"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53961C27" w:rsidR="00BB54BE" w:rsidRPr="00E16889" w:rsidRDefault="004B262B" w:rsidP="00BB54BE">
            <w:pPr>
              <w:pStyle w:val="ListParagraph"/>
              <w:numPr>
                <w:ilvl w:val="0"/>
                <w:numId w:val="29"/>
              </w:numPr>
              <w:spacing w:line="276" w:lineRule="auto"/>
              <w:contextualSpacing/>
              <w:jc w:val="both"/>
              <w:rPr>
                <w:color w:val="000000"/>
                <w:lang w:eastAsia="en-US"/>
              </w:rPr>
            </w:pPr>
            <w:bookmarkStart w:id="29" w:name="lt_pId049"/>
            <w:r>
              <w:rPr>
                <w:color w:val="000000"/>
                <w:lang w:eastAsia="en-US"/>
              </w:rPr>
              <w:t>272</w:t>
            </w:r>
            <w:r w:rsidR="00BB54BE" w:rsidRPr="00E16889">
              <w:rPr>
                <w:color w:val="000000"/>
                <w:lang w:eastAsia="en-US"/>
              </w:rPr>
              <w:t xml:space="preserve"> échecs sur </w:t>
            </w:r>
            <w:r>
              <w:rPr>
                <w:color w:val="000000"/>
                <w:lang w:eastAsia="en-US"/>
              </w:rPr>
              <w:t>236 639</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w:t>
            </w:r>
            <w:r>
              <w:rPr>
                <w:color w:val="000000"/>
                <w:lang w:eastAsia="en-US"/>
              </w:rPr>
              <w:t>89</w:t>
            </w:r>
            <w:r w:rsidR="00BB54BE" w:rsidRPr="00E16889">
              <w:rPr>
                <w:color w:val="000000"/>
                <w:lang w:eastAsia="en-US"/>
              </w:rPr>
              <w:t> %</w:t>
            </w:r>
            <w:bookmarkEnd w:id="29"/>
            <w:r w:rsidR="00755527" w:rsidRPr="00E16889">
              <w:rPr>
                <w:color w:val="000000"/>
                <w:lang w:eastAsia="en-US"/>
              </w:rPr>
              <w:t>.</w:t>
            </w:r>
          </w:p>
          <w:p w14:paraId="4E54B240" w14:textId="41BCF408" w:rsidR="00BB54BE" w:rsidRPr="00E16889" w:rsidRDefault="00EF6881" w:rsidP="007C16CF">
            <w:pPr>
              <w:pStyle w:val="ListParagraph"/>
              <w:numPr>
                <w:ilvl w:val="0"/>
                <w:numId w:val="29"/>
              </w:numPr>
              <w:spacing w:line="276" w:lineRule="auto"/>
              <w:contextualSpacing/>
              <w:jc w:val="both"/>
              <w:rPr>
                <w:color w:val="000000"/>
                <w:lang w:eastAsia="en-US"/>
              </w:rPr>
            </w:pPr>
            <w:bookmarkStart w:id="30" w:name="lt_pId050"/>
            <w:r>
              <w:rPr>
                <w:color w:val="000000"/>
                <w:lang w:eastAsia="en-US"/>
              </w:rPr>
              <w:t>2</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4B262B">
              <w:rPr>
                <w:color w:val="000000"/>
                <w:lang w:eastAsia="en-US"/>
              </w:rPr>
              <w:t>76 186</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7A2985"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2FBF8778" w14:textId="54291BC3" w:rsidR="006605F4" w:rsidRPr="006D6075" w:rsidRDefault="006605F4" w:rsidP="007A2985">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1530A27D" w14:textId="39BCFFC7" w:rsidR="007A2985" w:rsidRPr="00910356" w:rsidRDefault="007A2985" w:rsidP="007A2985">
            <w:pPr>
              <w:spacing w:line="240" w:lineRule="auto"/>
              <w:rPr>
                <w:rFonts w:ascii="Calibri" w:eastAsia="Times New Roman" w:hAnsi="Calibri" w:cs="Times New Roman"/>
                <w:color w:val="000000"/>
                <w:lang w:val="fr-CA"/>
              </w:rPr>
            </w:pPr>
            <w:r w:rsidRPr="00657D97">
              <w:rPr>
                <w:rFonts w:ascii="Calibri" w:eastAsia="Times New Roman" w:hAnsi="Calibri" w:cs="Times New Roman"/>
                <w:color w:val="000000"/>
                <w:lang w:val="fr-CA"/>
              </w:rPr>
              <w:t>Le 30 Septembre est la journée nationale de la vérité et de la réconciliation</w:t>
            </w:r>
            <w:r>
              <w:rPr>
                <w:rFonts w:ascii="Calibri" w:eastAsia="Times New Roman" w:hAnsi="Calibri" w:cs="Times New Roman"/>
                <w:color w:val="000000"/>
                <w:lang w:val="fr-CA"/>
              </w:rPr>
              <w:t>. Soit un jour férié</w:t>
            </w:r>
            <w:r w:rsidRPr="00657D97">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durant lequel </w:t>
            </w:r>
            <w:r w:rsidRPr="00910356">
              <w:rPr>
                <w:rFonts w:ascii="Calibri" w:eastAsia="Times New Roman" w:hAnsi="Calibri" w:cs="Times New Roman"/>
                <w:color w:val="000000"/>
                <w:lang w:val="fr-CA"/>
              </w:rPr>
              <w:t>aucun règlement ne p</w:t>
            </w:r>
            <w:r>
              <w:rPr>
                <w:rFonts w:ascii="Calibri" w:eastAsia="Times New Roman" w:hAnsi="Calibri" w:cs="Times New Roman"/>
                <w:color w:val="000000"/>
                <w:lang w:val="fr-CA"/>
              </w:rPr>
              <w:t>eut</w:t>
            </w:r>
            <w:r w:rsidRPr="00910356">
              <w:rPr>
                <w:rFonts w:ascii="Calibri" w:eastAsia="Times New Roman" w:hAnsi="Calibri" w:cs="Times New Roman"/>
                <w:color w:val="000000"/>
                <w:lang w:val="fr-CA"/>
              </w:rPr>
              <w:t xml:space="preserve"> être effectué à la CDCC </w:t>
            </w:r>
            <w:r>
              <w:rPr>
                <w:rFonts w:ascii="Calibri" w:eastAsia="Times New Roman" w:hAnsi="Calibri" w:cs="Times New Roman"/>
                <w:color w:val="000000"/>
                <w:lang w:val="fr-CA"/>
              </w:rPr>
              <w:t xml:space="preserve">et dont </w:t>
            </w:r>
            <w:r w:rsidRPr="00910356">
              <w:rPr>
                <w:rFonts w:ascii="Calibri" w:eastAsia="Times New Roman" w:hAnsi="Calibri" w:cs="Times New Roman"/>
                <w:color w:val="000000"/>
                <w:lang w:val="fr-CA"/>
              </w:rPr>
              <w:t xml:space="preserve">le montant notionnel </w:t>
            </w:r>
            <w:r w:rsidRPr="00311311">
              <w:rPr>
                <w:rFonts w:ascii="Calibri" w:eastAsia="Times New Roman" w:hAnsi="Calibri" w:cs="Times New Roman"/>
                <w:lang w:val="fr-CA"/>
              </w:rPr>
              <w:t xml:space="preserve">brut compensé est </w:t>
            </w:r>
            <w:r w:rsidRPr="00910356">
              <w:rPr>
                <w:rFonts w:ascii="Calibri" w:eastAsia="Times New Roman" w:hAnsi="Calibri" w:cs="Times New Roman"/>
                <w:color w:val="000000"/>
                <w:lang w:val="fr-CA"/>
              </w:rPr>
              <w:t>nettement inférieur à un jour ouvrable normal</w:t>
            </w:r>
            <w:r w:rsidRPr="00657D97">
              <w:rPr>
                <w:rFonts w:ascii="Calibri" w:eastAsia="Times New Roman" w:hAnsi="Calibri" w:cs="Times New Roman"/>
                <w:color w:val="000000"/>
                <w:lang w:val="fr-CA"/>
              </w:rPr>
              <w:t xml:space="preserve">. </w:t>
            </w:r>
            <w:r w:rsidRPr="00910356">
              <w:rPr>
                <w:rFonts w:ascii="Calibri" w:eastAsia="Times New Roman" w:hAnsi="Calibri" w:cs="Times New Roman"/>
                <w:color w:val="000000"/>
                <w:lang w:val="fr-CA"/>
              </w:rPr>
              <w:t>En annexe, la CDCC ajoute les informations</w:t>
            </w:r>
            <w:r>
              <w:rPr>
                <w:rFonts w:ascii="Calibri" w:eastAsia="Times New Roman" w:hAnsi="Calibri" w:cs="Times New Roman"/>
                <w:color w:val="000000"/>
                <w:lang w:val="fr-CA"/>
              </w:rPr>
              <w:t xml:space="preserve"> au</w:t>
            </w:r>
            <w:r w:rsidRPr="00910356">
              <w:rPr>
                <w:rFonts w:ascii="Calibri" w:eastAsia="Times New Roman" w:hAnsi="Calibri" w:cs="Times New Roman"/>
                <w:color w:val="000000"/>
                <w:lang w:val="fr-CA"/>
              </w:rPr>
              <w:t xml:space="preserve"> </w:t>
            </w:r>
            <w:r>
              <w:rPr>
                <w:rFonts w:ascii="Calibri" w:eastAsia="Times New Roman" w:hAnsi="Calibri" w:cs="Times New Roman"/>
                <w:color w:val="000000"/>
                <w:lang w:val="fr-CA"/>
              </w:rPr>
              <w:t>27</w:t>
            </w:r>
            <w:r>
              <w:rPr>
                <w:rFonts w:ascii="Calibri" w:eastAsia="Times New Roman" w:hAnsi="Calibri" w:cs="Times New Roman"/>
                <w:color w:val="000000"/>
                <w:lang w:val="fr-CA"/>
              </w:rPr>
              <w:t xml:space="preserve"> Septembre afin de repré</w:t>
            </w:r>
            <w:r w:rsidRPr="00910356">
              <w:rPr>
                <w:rFonts w:ascii="Calibri" w:eastAsia="Times New Roman" w:hAnsi="Calibri" w:cs="Times New Roman"/>
                <w:color w:val="000000"/>
                <w:lang w:val="fr-CA"/>
              </w:rPr>
              <w:t>sent</w:t>
            </w:r>
            <w:r>
              <w:rPr>
                <w:rFonts w:ascii="Calibri" w:eastAsia="Times New Roman" w:hAnsi="Calibri" w:cs="Times New Roman"/>
                <w:color w:val="000000"/>
                <w:lang w:val="fr-CA"/>
              </w:rPr>
              <w:t xml:space="preserve">er le </w:t>
            </w:r>
            <w:r>
              <w:rPr>
                <w:rFonts w:ascii="Calibri" w:eastAsia="Times New Roman" w:hAnsi="Calibri" w:cs="Times New Roman"/>
                <w:color w:val="000000"/>
                <w:lang w:val="fr-CA"/>
              </w:rPr>
              <w:t>trimestre</w:t>
            </w:r>
            <w:r w:rsidRPr="00910356">
              <w:rPr>
                <w:rFonts w:ascii="Calibri" w:eastAsia="Times New Roman" w:hAnsi="Calibri" w:cs="Times New Roman"/>
                <w:color w:val="000000"/>
                <w:lang w:val="fr-CA"/>
              </w:rPr>
              <w:t xml:space="preserve"> :</w:t>
            </w:r>
          </w:p>
          <w:p w14:paraId="508A8FEE" w14:textId="77777777" w:rsidR="007A2985" w:rsidRPr="00BB1DF5" w:rsidRDefault="007A2985" w:rsidP="007A298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fr-CA"/>
              </w:rPr>
              <w:br/>
            </w:r>
            <w:r w:rsidRPr="00BB1DF5">
              <w:rPr>
                <w:rFonts w:ascii="Calibri" w:eastAsia="Times New Roman" w:hAnsi="Calibri" w:cs="Times New Roman"/>
                <w:color w:val="000000"/>
                <w:lang w:val="en-US"/>
              </w:rPr>
              <w:t>House: 5</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088</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026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195.83</w:t>
            </w:r>
          </w:p>
          <w:p w14:paraId="6EC07FC4" w14:textId="77777777" w:rsidR="007A2985" w:rsidRPr="00BB1DF5" w:rsidRDefault="007A2985" w:rsidP="007A298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Client Gross (Options): 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758</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716</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498</w:t>
            </w:r>
          </w:p>
          <w:p w14:paraId="69F26807" w14:textId="77777777" w:rsidR="007A2985" w:rsidRPr="00BB1DF5" w:rsidRDefault="007A2985" w:rsidP="007A298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Client Net (Futures + Repo): 3</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611</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089</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369.8</w:t>
            </w:r>
          </w:p>
          <w:p w14:paraId="791EF58B" w14:textId="77777777" w:rsidR="007A2985" w:rsidRDefault="007A2985" w:rsidP="007A2985">
            <w:pPr>
              <w:spacing w:line="240" w:lineRule="auto"/>
              <w:rPr>
                <w:rFonts w:ascii="Calibri" w:eastAsia="Times New Roman" w:hAnsi="Calibri" w:cs="Times New Roman"/>
                <w:color w:val="000000"/>
                <w:lang w:val="en-US"/>
              </w:rPr>
            </w:pPr>
            <w:r w:rsidRPr="00BB1DF5">
              <w:rPr>
                <w:rFonts w:ascii="Calibri" w:eastAsia="Times New Roman" w:hAnsi="Calibri" w:cs="Times New Roman"/>
                <w:color w:val="000000"/>
                <w:lang w:val="en-US"/>
              </w:rPr>
              <w:t>Total: 15</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457</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832</w:t>
            </w:r>
            <w:r>
              <w:rPr>
                <w:rFonts w:ascii="Calibri" w:eastAsia="Times New Roman" w:hAnsi="Calibri" w:cs="Times New Roman"/>
                <w:color w:val="000000"/>
                <w:lang w:val="en-US"/>
              </w:rPr>
              <w:t xml:space="preserve"> </w:t>
            </w:r>
            <w:r w:rsidRPr="00BB1DF5">
              <w:rPr>
                <w:rFonts w:ascii="Calibri" w:eastAsia="Times New Roman" w:hAnsi="Calibri" w:cs="Times New Roman"/>
                <w:color w:val="000000"/>
                <w:lang w:val="en-US"/>
              </w:rPr>
              <w:t>063.63</w:t>
            </w:r>
          </w:p>
          <w:p w14:paraId="0C747F54" w14:textId="0DA11E95" w:rsidR="00BB54BE" w:rsidRPr="007A2985" w:rsidRDefault="00BB54BE" w:rsidP="007A2985">
            <w:pPr>
              <w:spacing w:line="240" w:lineRule="auto"/>
              <w:rPr>
                <w:rFonts w:ascii="Calibri" w:eastAsia="Times New Roman" w:hAnsi="Calibri" w:cs="Times New Roman"/>
                <w:color w:val="000000"/>
                <w:lang w:val="en-US"/>
              </w:rPr>
            </w:pPr>
            <w:r w:rsidRPr="001C0132">
              <w:rPr>
                <w:rFonts w:ascii="Calibri" w:eastAsia="Times New Roman" w:hAnsi="Calibri" w:cs="Times New Roman"/>
                <w:color w:val="000000"/>
                <w:lang w:val="fr-CA"/>
              </w:rPr>
              <w:br/>
            </w: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2"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2"/>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3D198D1F" w:rsid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1847A79F" w14:textId="6F06313B" w:rsidR="007A2985" w:rsidRDefault="007A2985" w:rsidP="00924DD1">
            <w:pPr>
              <w:spacing w:line="240" w:lineRule="auto"/>
              <w:jc w:val="both"/>
              <w:rPr>
                <w:rFonts w:ascii="Calibri" w:eastAsia="Times New Roman" w:hAnsi="Calibri" w:cs="Times New Roman"/>
                <w:color w:val="000000"/>
                <w:lang w:val="fr-CA"/>
              </w:rPr>
            </w:pPr>
          </w:p>
          <w:p w14:paraId="65AE9878" w14:textId="77777777" w:rsidR="007A2985" w:rsidRPr="00910356" w:rsidRDefault="007A2985" w:rsidP="007A2985">
            <w:pPr>
              <w:spacing w:line="240" w:lineRule="auto"/>
              <w:rPr>
                <w:rFonts w:ascii="Calibri" w:eastAsia="Times New Roman" w:hAnsi="Calibri" w:cs="Times New Roman"/>
                <w:color w:val="000000"/>
                <w:lang w:val="fr-CA"/>
              </w:rPr>
            </w:pPr>
            <w:r w:rsidRPr="00657D97">
              <w:rPr>
                <w:rFonts w:ascii="Calibri" w:eastAsia="Times New Roman" w:hAnsi="Calibri" w:cs="Times New Roman"/>
                <w:color w:val="000000"/>
                <w:lang w:val="fr-CA"/>
              </w:rPr>
              <w:t>Le 30 Septembre est la journée nationale de la vérité et de la réconciliation</w:t>
            </w:r>
            <w:r>
              <w:rPr>
                <w:rFonts w:ascii="Calibri" w:eastAsia="Times New Roman" w:hAnsi="Calibri" w:cs="Times New Roman"/>
                <w:color w:val="000000"/>
                <w:lang w:val="fr-CA"/>
              </w:rPr>
              <w:t>. Soit un jour férié</w:t>
            </w:r>
            <w:r w:rsidRPr="00657D97">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durant lequel </w:t>
            </w:r>
            <w:r w:rsidRPr="00910356">
              <w:rPr>
                <w:rFonts w:ascii="Calibri" w:eastAsia="Times New Roman" w:hAnsi="Calibri" w:cs="Times New Roman"/>
                <w:color w:val="000000"/>
                <w:lang w:val="fr-CA"/>
              </w:rPr>
              <w:t>aucun règlement ne p</w:t>
            </w:r>
            <w:r>
              <w:rPr>
                <w:rFonts w:ascii="Calibri" w:eastAsia="Times New Roman" w:hAnsi="Calibri" w:cs="Times New Roman"/>
                <w:color w:val="000000"/>
                <w:lang w:val="fr-CA"/>
              </w:rPr>
              <w:t>eut</w:t>
            </w:r>
            <w:r w:rsidRPr="00910356">
              <w:rPr>
                <w:rFonts w:ascii="Calibri" w:eastAsia="Times New Roman" w:hAnsi="Calibri" w:cs="Times New Roman"/>
                <w:color w:val="000000"/>
                <w:lang w:val="fr-CA"/>
              </w:rPr>
              <w:t xml:space="preserve"> être effectué à la CDCC </w:t>
            </w:r>
            <w:r>
              <w:rPr>
                <w:rFonts w:ascii="Calibri" w:eastAsia="Times New Roman" w:hAnsi="Calibri" w:cs="Times New Roman"/>
                <w:color w:val="000000"/>
                <w:lang w:val="fr-CA"/>
              </w:rPr>
              <w:t xml:space="preserve">et dont </w:t>
            </w:r>
            <w:r w:rsidRPr="00910356">
              <w:rPr>
                <w:rFonts w:ascii="Calibri" w:eastAsia="Times New Roman" w:hAnsi="Calibri" w:cs="Times New Roman"/>
                <w:color w:val="000000"/>
                <w:lang w:val="fr-CA"/>
              </w:rPr>
              <w:t xml:space="preserve">le montant notionnel </w:t>
            </w:r>
            <w:r w:rsidRPr="00311311">
              <w:rPr>
                <w:rFonts w:ascii="Calibri" w:eastAsia="Times New Roman" w:hAnsi="Calibri" w:cs="Times New Roman"/>
                <w:lang w:val="fr-CA"/>
              </w:rPr>
              <w:t xml:space="preserve">brut compensé est </w:t>
            </w:r>
            <w:r w:rsidRPr="00910356">
              <w:rPr>
                <w:rFonts w:ascii="Calibri" w:eastAsia="Times New Roman" w:hAnsi="Calibri" w:cs="Times New Roman"/>
                <w:color w:val="000000"/>
                <w:lang w:val="fr-CA"/>
              </w:rPr>
              <w:t>nettement inférieur à un jour ouvrable normal</w:t>
            </w:r>
            <w:r w:rsidRPr="00657D97">
              <w:rPr>
                <w:rFonts w:ascii="Calibri" w:eastAsia="Times New Roman" w:hAnsi="Calibri" w:cs="Times New Roman"/>
                <w:color w:val="000000"/>
                <w:lang w:val="fr-CA"/>
              </w:rPr>
              <w:t xml:space="preserve">. </w:t>
            </w:r>
            <w:r w:rsidRPr="00910356">
              <w:rPr>
                <w:rFonts w:ascii="Calibri" w:eastAsia="Times New Roman" w:hAnsi="Calibri" w:cs="Times New Roman"/>
                <w:color w:val="000000"/>
                <w:lang w:val="fr-CA"/>
              </w:rPr>
              <w:t>En annexe, la CDCC ajoute les informations</w:t>
            </w:r>
            <w:r>
              <w:rPr>
                <w:rFonts w:ascii="Calibri" w:eastAsia="Times New Roman" w:hAnsi="Calibri" w:cs="Times New Roman"/>
                <w:color w:val="000000"/>
                <w:lang w:val="fr-CA"/>
              </w:rPr>
              <w:t xml:space="preserve"> au</w:t>
            </w:r>
            <w:r w:rsidRPr="00910356">
              <w:rPr>
                <w:rFonts w:ascii="Calibri" w:eastAsia="Times New Roman" w:hAnsi="Calibri" w:cs="Times New Roman"/>
                <w:color w:val="000000"/>
                <w:lang w:val="fr-CA"/>
              </w:rPr>
              <w:t xml:space="preserve"> </w:t>
            </w:r>
            <w:r>
              <w:rPr>
                <w:rFonts w:ascii="Calibri" w:eastAsia="Times New Roman" w:hAnsi="Calibri" w:cs="Times New Roman"/>
                <w:color w:val="000000"/>
                <w:lang w:val="fr-CA"/>
              </w:rPr>
              <w:t>27 Septembre afin de repré</w:t>
            </w:r>
            <w:r w:rsidRPr="00910356">
              <w:rPr>
                <w:rFonts w:ascii="Calibri" w:eastAsia="Times New Roman" w:hAnsi="Calibri" w:cs="Times New Roman"/>
                <w:color w:val="000000"/>
                <w:lang w:val="fr-CA"/>
              </w:rPr>
              <w:t>sent</w:t>
            </w:r>
            <w:r>
              <w:rPr>
                <w:rFonts w:ascii="Calibri" w:eastAsia="Times New Roman" w:hAnsi="Calibri" w:cs="Times New Roman"/>
                <w:color w:val="000000"/>
                <w:lang w:val="fr-CA"/>
              </w:rPr>
              <w:t>er le trimestre</w:t>
            </w:r>
            <w:r w:rsidRPr="00910356">
              <w:rPr>
                <w:rFonts w:ascii="Calibri" w:eastAsia="Times New Roman" w:hAnsi="Calibri" w:cs="Times New Roman"/>
                <w:color w:val="000000"/>
                <w:lang w:val="fr-CA"/>
              </w:rPr>
              <w:t xml:space="preserve"> :</w:t>
            </w:r>
          </w:p>
          <w:p w14:paraId="710E99E9" w14:textId="77777777" w:rsidR="007A2985" w:rsidRDefault="007A2985" w:rsidP="007A2985">
            <w:pPr>
              <w:spacing w:line="240" w:lineRule="auto"/>
              <w:rPr>
                <w:rFonts w:ascii="Calibri" w:eastAsia="Times New Roman" w:hAnsi="Calibri" w:cs="Times New Roman"/>
                <w:color w:val="000000"/>
                <w:lang w:val="fr-CA"/>
              </w:rPr>
            </w:pPr>
          </w:p>
          <w:p w14:paraId="110D07F0" w14:textId="3F711A66" w:rsidR="007A2985" w:rsidRPr="00E10399" w:rsidRDefault="007A2985" w:rsidP="007A298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fr-CA"/>
              </w:rPr>
              <w:lastRenderedPageBreak/>
              <w:br/>
            </w:r>
            <w:r w:rsidRPr="00E10399">
              <w:rPr>
                <w:rFonts w:ascii="Calibri" w:eastAsia="Times New Roman" w:hAnsi="Calibri" w:cs="Times New Roman"/>
                <w:color w:val="000000"/>
                <w:lang w:val="en-US"/>
              </w:rPr>
              <w:t>HouseIM_PreHaircut: $</w:t>
            </w:r>
            <w:r>
              <w:t xml:space="preserve"> </w:t>
            </w:r>
            <w:r w:rsidRPr="00E10399">
              <w:rPr>
                <w:rFonts w:ascii="Calibri" w:eastAsia="Times New Roman" w:hAnsi="Calibri" w:cs="Times New Roman"/>
                <w:color w:val="000000"/>
                <w:lang w:val="en-US"/>
              </w:rPr>
              <w:t>6</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040</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946</w:t>
            </w:r>
            <w:r>
              <w:rPr>
                <w:rFonts w:ascii="Calibri" w:eastAsia="Times New Roman" w:hAnsi="Calibri" w:cs="Times New Roman"/>
                <w:color w:val="000000"/>
                <w:lang w:val="en-US"/>
              </w:rPr>
              <w:t xml:space="preserve"> </w:t>
            </w:r>
            <w:r w:rsidRPr="00E10399">
              <w:rPr>
                <w:rFonts w:ascii="Calibri" w:eastAsia="Times New Roman" w:hAnsi="Calibri" w:cs="Times New Roman"/>
                <w:color w:val="000000"/>
                <w:lang w:val="en-US"/>
              </w:rPr>
              <w:t>821.36</w:t>
            </w:r>
          </w:p>
          <w:p w14:paraId="3BF63A89" w14:textId="77777777" w:rsidR="007A2985" w:rsidRPr="00E10399" w:rsidRDefault="007A2985" w:rsidP="007A2985">
            <w:pPr>
              <w:spacing w:line="240" w:lineRule="auto"/>
              <w:rPr>
                <w:rFonts w:ascii="Calibri" w:eastAsia="Times New Roman" w:hAnsi="Calibri" w:cs="Times New Roman"/>
                <w:color w:val="000000"/>
                <w:lang w:val="en-US"/>
              </w:rPr>
            </w:pPr>
            <w:r w:rsidRPr="00E10399">
              <w:rPr>
                <w:rFonts w:ascii="Calibri" w:eastAsia="Times New Roman" w:hAnsi="Calibri" w:cs="Times New Roman"/>
                <w:color w:val="000000"/>
                <w:lang w:val="en-US"/>
              </w:rPr>
              <w:t>HouseIM_PostHaircut: $</w:t>
            </w:r>
            <w:r>
              <w:t xml:space="preserve"> </w:t>
            </w:r>
            <w:r w:rsidRPr="00856B26">
              <w:rPr>
                <w:rFonts w:ascii="Calibri" w:eastAsia="Times New Roman" w:hAnsi="Calibri" w:cs="Times New Roman"/>
                <w:color w:val="000000"/>
                <w:lang w:val="en-US"/>
              </w:rPr>
              <w:t>5</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424</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382</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766.67</w:t>
            </w:r>
          </w:p>
          <w:p w14:paraId="70306405" w14:textId="77777777" w:rsidR="007A2985" w:rsidRPr="00E10399" w:rsidRDefault="007A2985" w:rsidP="007A2985">
            <w:pPr>
              <w:spacing w:line="240" w:lineRule="auto"/>
              <w:rPr>
                <w:rFonts w:ascii="Calibri" w:eastAsia="Times New Roman" w:hAnsi="Calibri" w:cs="Times New Roman"/>
                <w:color w:val="000000"/>
                <w:lang w:val="en-US"/>
              </w:rPr>
            </w:pPr>
            <w:r w:rsidRPr="00E10399">
              <w:rPr>
                <w:rFonts w:ascii="Calibri" w:eastAsia="Times New Roman" w:hAnsi="Calibri" w:cs="Times New Roman"/>
                <w:color w:val="000000"/>
                <w:lang w:val="en-US"/>
              </w:rPr>
              <w:t>ClientIM_PreHaircut: $</w:t>
            </w:r>
            <w:r>
              <w:t xml:space="preserve"> </w:t>
            </w:r>
            <w:r w:rsidRPr="00856B26">
              <w:rPr>
                <w:rFonts w:ascii="Calibri" w:eastAsia="Times New Roman" w:hAnsi="Calibri" w:cs="Times New Roman"/>
                <w:color w:val="000000"/>
                <w:lang w:val="en-US"/>
              </w:rPr>
              <w:t>11</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134</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689</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390.81</w:t>
            </w:r>
          </w:p>
          <w:p w14:paraId="0B7A143F" w14:textId="77777777" w:rsidR="007A2985" w:rsidRPr="00E10399" w:rsidRDefault="007A2985" w:rsidP="007A2985">
            <w:pPr>
              <w:spacing w:line="240" w:lineRule="auto"/>
              <w:rPr>
                <w:rFonts w:ascii="Calibri" w:eastAsia="Times New Roman" w:hAnsi="Calibri" w:cs="Times New Roman"/>
                <w:color w:val="000000"/>
                <w:lang w:val="en-US"/>
              </w:rPr>
            </w:pPr>
            <w:r w:rsidRPr="00E10399">
              <w:rPr>
                <w:rFonts w:ascii="Calibri" w:eastAsia="Times New Roman" w:hAnsi="Calibri" w:cs="Times New Roman"/>
                <w:color w:val="000000"/>
                <w:lang w:val="en-US"/>
              </w:rPr>
              <w:t>ClientIM_PostHaircut: $</w:t>
            </w:r>
            <w:r>
              <w:t xml:space="preserve"> </w:t>
            </w:r>
            <w:r w:rsidRPr="00856B26">
              <w:rPr>
                <w:rFonts w:ascii="Calibri" w:eastAsia="Times New Roman" w:hAnsi="Calibri" w:cs="Times New Roman"/>
                <w:color w:val="000000"/>
                <w:lang w:val="en-US"/>
              </w:rPr>
              <w:t>10</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825</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941</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621.78</w:t>
            </w:r>
          </w:p>
          <w:p w14:paraId="65677540" w14:textId="77777777" w:rsidR="007A2985" w:rsidRPr="00E10399" w:rsidRDefault="007A2985" w:rsidP="007A2985">
            <w:pPr>
              <w:spacing w:line="240" w:lineRule="auto"/>
              <w:rPr>
                <w:rFonts w:ascii="Calibri" w:eastAsia="Times New Roman" w:hAnsi="Calibri" w:cs="Times New Roman"/>
                <w:color w:val="000000"/>
                <w:lang w:val="en-US"/>
              </w:rPr>
            </w:pPr>
            <w:r w:rsidRPr="00E10399">
              <w:rPr>
                <w:rFonts w:ascii="Calibri" w:eastAsia="Times New Roman" w:hAnsi="Calibri" w:cs="Times New Roman"/>
                <w:color w:val="000000"/>
                <w:lang w:val="en-US"/>
              </w:rPr>
              <w:t>TotalIM_PreHaircut : $</w:t>
            </w:r>
            <w:r>
              <w:t xml:space="preserve"> </w:t>
            </w:r>
            <w:r w:rsidRPr="00856B26">
              <w:rPr>
                <w:rFonts w:ascii="Calibri" w:eastAsia="Times New Roman" w:hAnsi="Calibri" w:cs="Times New Roman"/>
                <w:color w:val="000000"/>
                <w:lang w:val="en-US"/>
              </w:rPr>
              <w:t>17</w:t>
            </w:r>
            <w:r>
              <w:rPr>
                <w:rFonts w:ascii="Calibri" w:eastAsia="Times New Roman" w:hAnsi="Calibri" w:cs="Times New Roman"/>
                <w:color w:val="000000"/>
                <w:lang w:val="en-US"/>
              </w:rPr>
              <w:t> </w:t>
            </w:r>
            <w:r w:rsidRPr="00856B26">
              <w:rPr>
                <w:rFonts w:ascii="Calibri" w:eastAsia="Times New Roman" w:hAnsi="Calibri" w:cs="Times New Roman"/>
                <w:color w:val="000000"/>
                <w:lang w:val="en-US"/>
              </w:rPr>
              <w:t>175</w:t>
            </w:r>
            <w:r>
              <w:rPr>
                <w:rFonts w:ascii="Calibri" w:eastAsia="Times New Roman" w:hAnsi="Calibri" w:cs="Times New Roman"/>
                <w:color w:val="000000"/>
                <w:lang w:val="en-US"/>
              </w:rPr>
              <w:t> </w:t>
            </w:r>
            <w:r w:rsidRPr="00856B26">
              <w:rPr>
                <w:rFonts w:ascii="Calibri" w:eastAsia="Times New Roman" w:hAnsi="Calibri" w:cs="Times New Roman"/>
                <w:color w:val="000000"/>
                <w:lang w:val="en-US"/>
              </w:rPr>
              <w:t>636</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212.18</w:t>
            </w:r>
          </w:p>
          <w:p w14:paraId="5B9B8730" w14:textId="4D09F336" w:rsidR="007A2985" w:rsidRPr="00924DD1" w:rsidRDefault="007A2985" w:rsidP="007A2985">
            <w:pPr>
              <w:spacing w:line="240" w:lineRule="auto"/>
              <w:jc w:val="both"/>
              <w:rPr>
                <w:rFonts w:ascii="Calibri" w:eastAsia="Times New Roman" w:hAnsi="Calibri" w:cs="Times New Roman"/>
                <w:color w:val="000000"/>
                <w:lang w:val="fr-CA"/>
              </w:rPr>
            </w:pPr>
            <w:r w:rsidRPr="00E10399">
              <w:rPr>
                <w:rFonts w:ascii="Calibri" w:eastAsia="Times New Roman" w:hAnsi="Calibri" w:cs="Times New Roman"/>
                <w:color w:val="000000"/>
                <w:lang w:val="en-US"/>
              </w:rPr>
              <w:t>TotalIM_PostHaircut : $</w:t>
            </w:r>
            <w:r>
              <w:t xml:space="preserve"> </w:t>
            </w:r>
            <w:r w:rsidRPr="00856B26">
              <w:rPr>
                <w:rFonts w:ascii="Calibri" w:eastAsia="Times New Roman" w:hAnsi="Calibri" w:cs="Times New Roman"/>
                <w:color w:val="000000"/>
                <w:lang w:val="en-US"/>
              </w:rPr>
              <w:t>16</w:t>
            </w:r>
            <w:r>
              <w:rPr>
                <w:rFonts w:ascii="Calibri" w:eastAsia="Times New Roman" w:hAnsi="Calibri" w:cs="Times New Roman"/>
                <w:color w:val="000000"/>
                <w:lang w:val="en-US"/>
              </w:rPr>
              <w:t> </w:t>
            </w:r>
            <w:r w:rsidRPr="00856B26">
              <w:rPr>
                <w:rFonts w:ascii="Calibri" w:eastAsia="Times New Roman" w:hAnsi="Calibri" w:cs="Times New Roman"/>
                <w:color w:val="000000"/>
                <w:lang w:val="en-US"/>
              </w:rPr>
              <w:t>250</w:t>
            </w:r>
            <w:r>
              <w:rPr>
                <w:rFonts w:ascii="Calibri" w:eastAsia="Times New Roman" w:hAnsi="Calibri" w:cs="Times New Roman"/>
                <w:color w:val="000000"/>
                <w:lang w:val="en-US"/>
              </w:rPr>
              <w:t> </w:t>
            </w:r>
            <w:r w:rsidRPr="00856B26">
              <w:rPr>
                <w:rFonts w:ascii="Calibri" w:eastAsia="Times New Roman" w:hAnsi="Calibri" w:cs="Times New Roman"/>
                <w:color w:val="000000"/>
                <w:lang w:val="en-US"/>
              </w:rPr>
              <w:t>324</w:t>
            </w:r>
            <w:r>
              <w:rPr>
                <w:rFonts w:ascii="Calibri" w:eastAsia="Times New Roman" w:hAnsi="Calibri" w:cs="Times New Roman"/>
                <w:color w:val="000000"/>
                <w:lang w:val="en-US"/>
              </w:rPr>
              <w:t xml:space="preserve"> </w:t>
            </w:r>
            <w:r w:rsidRPr="00856B26">
              <w:rPr>
                <w:rFonts w:ascii="Calibri" w:eastAsia="Times New Roman" w:hAnsi="Calibri" w:cs="Times New Roman"/>
                <w:color w:val="000000"/>
                <w:lang w:val="en-US"/>
              </w:rPr>
              <w:t>388.45</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3" w:name="lt_pId059"/>
            <w:r w:rsidRPr="001C0132">
              <w:rPr>
                <w:rFonts w:ascii="Calibri" w:eastAsia="Times New Roman" w:hAnsi="Calibri" w:cs="Times New Roman"/>
                <w:b/>
                <w:i/>
                <w:color w:val="000000"/>
                <w:lang w:val="fr-CA"/>
              </w:rPr>
              <w:t xml:space="preserve">Fréquence </w:t>
            </w:r>
            <w:bookmarkEnd w:id="33"/>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4"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4"/>
            <w:r w:rsidR="00A02B21">
              <w:rPr>
                <w:rFonts w:ascii="Calibri" w:eastAsia="Times New Roman" w:hAnsi="Calibri" w:cs="Times New Roman"/>
                <w:color w:val="000000"/>
                <w:lang w:val="fr-CA"/>
              </w:rPr>
              <w:t>.</w:t>
            </w:r>
          </w:p>
        </w:tc>
      </w:tr>
      <w:tr w:rsidR="00BB54BE" w:rsidRPr="007A2985"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lastRenderedPageBreak/>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5"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5"/>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6"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7" w:name="lt_pId065"/>
            <w:bookmarkEnd w:id="36"/>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7"/>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8"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8"/>
            <w:r w:rsidRPr="001C0132">
              <w:rPr>
                <w:color w:val="000000"/>
                <w:lang w:eastAsia="en-US"/>
              </w:rPr>
              <w:t xml:space="preserve"> </w:t>
            </w:r>
            <w:bookmarkStart w:id="39"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39"/>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0"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0"/>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1"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1"/>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7A2985"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146312AD" w:rsidR="001B0831" w:rsidRPr="001B0831" w:rsidRDefault="001B0831" w:rsidP="00860C13">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 xml:space="preserve">le </w:t>
            </w:r>
            <w:r w:rsidR="00860C13">
              <w:rPr>
                <w:rFonts w:ascii="Calibri" w:eastAsia="Times New Roman" w:hAnsi="Calibri" w:cs="Times New Roman"/>
                <w:color w:val="000000"/>
                <w:lang w:val="fr-CA"/>
              </w:rPr>
              <w:t>29</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860C13">
              <w:rPr>
                <w:rFonts w:ascii="Calibri" w:eastAsia="Times New Roman" w:hAnsi="Calibri" w:cs="Times New Roman"/>
                <w:color w:val="000000"/>
                <w:lang w:val="fr-CA"/>
              </w:rPr>
              <w:t>3</w:t>
            </w:r>
            <w:r w:rsidRPr="001B0831">
              <w:rPr>
                <w:rFonts w:ascii="Calibri" w:eastAsia="Times New Roman" w:hAnsi="Calibri" w:cs="Times New Roman"/>
                <w:color w:val="000000"/>
                <w:lang w:val="fr-CA"/>
              </w:rPr>
              <w:t>.</w:t>
            </w:r>
          </w:p>
        </w:tc>
      </w:tr>
      <w:tr w:rsidR="00F91608" w:rsidRPr="007A2985"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2"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2"/>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3"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3"/>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7A2985"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20321" w:rsidRPr="007A2985" w14:paraId="29E90D26"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337EF33D" w14:textId="52CA0B1A" w:rsidR="00F20321" w:rsidRPr="001C0132" w:rsidRDefault="00F20321" w:rsidP="00F20321">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t>18</w:t>
            </w:r>
          </w:p>
        </w:tc>
        <w:tc>
          <w:tcPr>
            <w:tcW w:w="7767" w:type="dxa"/>
            <w:tcBorders>
              <w:top w:val="single" w:sz="4" w:space="0" w:color="auto"/>
              <w:left w:val="single" w:sz="4" w:space="0" w:color="auto"/>
              <w:bottom w:val="single" w:sz="4" w:space="0" w:color="auto"/>
              <w:right w:val="single" w:sz="4" w:space="0" w:color="auto"/>
            </w:tcBorders>
            <w:vAlign w:val="center"/>
          </w:tcPr>
          <w:p w14:paraId="2A0BA272" w14:textId="77777777" w:rsidR="00083C22" w:rsidRPr="00636A2D" w:rsidRDefault="00083C22" w:rsidP="00F20321">
            <w:pPr>
              <w:pStyle w:val="ListParagraph"/>
              <w:ind w:left="0"/>
              <w:rPr>
                <w:b/>
                <w:i/>
                <w:color w:val="000000"/>
              </w:rPr>
            </w:pPr>
          </w:p>
          <w:p w14:paraId="230389F5" w14:textId="627E8044" w:rsidR="00F20321" w:rsidRPr="00083C22" w:rsidRDefault="00F20321" w:rsidP="00F20321">
            <w:pPr>
              <w:pStyle w:val="ListParagraph"/>
              <w:ind w:left="0"/>
              <w:rPr>
                <w:b/>
                <w:i/>
                <w:color w:val="000000"/>
                <w:lang w:val="fr-FR"/>
              </w:rPr>
            </w:pPr>
            <w:r w:rsidRPr="00083C22">
              <w:rPr>
                <w:b/>
                <w:i/>
                <w:color w:val="000000"/>
                <w:lang w:val="fr-FR"/>
              </w:rPr>
              <w:t>18.1 : Nombre de membres compensateurs, par service de compensation et par catégorie de membres</w:t>
            </w:r>
          </w:p>
          <w:p w14:paraId="59D03F71" w14:textId="77777777" w:rsidR="00F20321" w:rsidRPr="00083C22" w:rsidRDefault="00F20321" w:rsidP="00F20321">
            <w:pPr>
              <w:pStyle w:val="ListParagraph"/>
              <w:ind w:left="0"/>
              <w:rPr>
                <w:b/>
                <w:i/>
                <w:color w:val="000000"/>
                <w:lang w:val="fr-FR"/>
              </w:rPr>
            </w:pPr>
          </w:p>
          <w:p w14:paraId="251EA632" w14:textId="77777777" w:rsidR="00F20321" w:rsidRPr="00636A2D" w:rsidRDefault="00F20321" w:rsidP="00083C22">
            <w:pPr>
              <w:pStyle w:val="ListParagraph"/>
              <w:ind w:left="720" w:hanging="360"/>
              <w:rPr>
                <w:rFonts w:cstheme="minorHAnsi"/>
              </w:rPr>
            </w:pPr>
            <w:r w:rsidRPr="00636A2D">
              <w:rPr>
                <w:b/>
                <w:i/>
                <w:color w:val="000000"/>
              </w:rPr>
              <w:t>•</w:t>
            </w:r>
            <w:r w:rsidRPr="00636A2D">
              <w:rPr>
                <w:b/>
                <w:i/>
                <w:color w:val="000000"/>
              </w:rPr>
              <w:tab/>
            </w:r>
            <w:r w:rsidRPr="00636A2D">
              <w:rPr>
                <w:rFonts w:cstheme="minorHAnsi"/>
              </w:rPr>
              <w:t>18.1.1.1 : Nombre de membres compensateurs, définis comme étant des candidats admis à titre de membres compensateurs de la Société selon les modalités prévues aux Règles de la CDCC</w:t>
            </w:r>
          </w:p>
          <w:p w14:paraId="23DAA555" w14:textId="77777777" w:rsidR="00F20321" w:rsidRPr="00636A2D" w:rsidRDefault="00F20321" w:rsidP="00083C22">
            <w:pPr>
              <w:pStyle w:val="ListParagraph"/>
              <w:ind w:left="720" w:hanging="360"/>
              <w:rPr>
                <w:rFonts w:cstheme="minorHAnsi"/>
              </w:rPr>
            </w:pPr>
          </w:p>
          <w:p w14:paraId="28463EEF" w14:textId="16056734" w:rsidR="00F20321" w:rsidRPr="00636A2D" w:rsidRDefault="00F20321" w:rsidP="00083C22">
            <w:pPr>
              <w:pStyle w:val="ListParagraph"/>
              <w:ind w:left="720" w:hanging="360"/>
              <w:rPr>
                <w:b/>
                <w:i/>
                <w:color w:val="000000"/>
              </w:rPr>
            </w:pPr>
            <w:r w:rsidRPr="00636A2D">
              <w:rPr>
                <w:rFonts w:cstheme="minorHAnsi"/>
              </w:rPr>
              <w:t>•</w:t>
            </w:r>
            <w:r w:rsidRPr="00636A2D">
              <w:rPr>
                <w:rFonts w:cstheme="minorHAnsi"/>
              </w:rPr>
              <w:tab/>
              <w:t>18.1.1.2 : Nombre de membres compensateurs à responsabilité limitée, définis comme étant des candidats admis par la Société à titre de membres compensateurs à responsabilité limitée selon les modalités prévues aux Règles de la CDCC</w:t>
            </w:r>
          </w:p>
        </w:tc>
      </w:tr>
      <w:tr w:rsidR="00F91608" w:rsidRPr="007A2985"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4"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4"/>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1D0183D1" w14:textId="77777777" w:rsidR="007055E7" w:rsidRDefault="00F91608" w:rsidP="00B26556">
            <w:pPr>
              <w:spacing w:line="240" w:lineRule="auto"/>
              <w:jc w:val="both"/>
              <w:rPr>
                <w:rFonts w:ascii="Calibri" w:eastAsia="Times New Roman" w:hAnsi="Calibri" w:cs="Times New Roman"/>
                <w:color w:val="000000"/>
                <w:lang w:val="fr-CA"/>
              </w:rPr>
            </w:pPr>
            <w:bookmarkStart w:id="45"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5"/>
          </w:p>
          <w:p w14:paraId="3A54DE43" w14:textId="77777777" w:rsidR="007A2985" w:rsidRDefault="007A2985" w:rsidP="00B26556">
            <w:pPr>
              <w:spacing w:line="240" w:lineRule="auto"/>
              <w:jc w:val="both"/>
              <w:rPr>
                <w:rFonts w:ascii="Calibri" w:eastAsia="Times New Roman" w:hAnsi="Calibri" w:cs="Times New Roman"/>
                <w:color w:val="000000"/>
                <w:lang w:val="fr-CA"/>
              </w:rPr>
            </w:pPr>
          </w:p>
          <w:p w14:paraId="2AEA819D" w14:textId="3DF6039D" w:rsidR="007A2985" w:rsidRPr="00910356" w:rsidRDefault="007A2985" w:rsidP="007A2985">
            <w:pPr>
              <w:spacing w:line="240" w:lineRule="auto"/>
              <w:rPr>
                <w:rFonts w:ascii="Calibri" w:eastAsia="Times New Roman" w:hAnsi="Calibri" w:cs="Times New Roman"/>
                <w:color w:val="000000"/>
                <w:lang w:val="fr-CA"/>
              </w:rPr>
            </w:pPr>
            <w:r w:rsidRPr="00657D97">
              <w:rPr>
                <w:rFonts w:ascii="Calibri" w:eastAsia="Times New Roman" w:hAnsi="Calibri" w:cs="Times New Roman"/>
                <w:color w:val="000000"/>
                <w:lang w:val="fr-CA"/>
              </w:rPr>
              <w:t>Le 30 Septembre est la journée nationale de la vérité et de la réconciliation</w:t>
            </w:r>
            <w:r>
              <w:rPr>
                <w:rFonts w:ascii="Calibri" w:eastAsia="Times New Roman" w:hAnsi="Calibri" w:cs="Times New Roman"/>
                <w:color w:val="000000"/>
                <w:lang w:val="fr-CA"/>
              </w:rPr>
              <w:t>. Soit un jour férié</w:t>
            </w:r>
            <w:r w:rsidRPr="00657D97">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durant lequel </w:t>
            </w:r>
            <w:r w:rsidRPr="00910356">
              <w:rPr>
                <w:rFonts w:ascii="Calibri" w:eastAsia="Times New Roman" w:hAnsi="Calibri" w:cs="Times New Roman"/>
                <w:color w:val="000000"/>
                <w:lang w:val="fr-CA"/>
              </w:rPr>
              <w:t>aucun règlement ne p</w:t>
            </w:r>
            <w:r>
              <w:rPr>
                <w:rFonts w:ascii="Calibri" w:eastAsia="Times New Roman" w:hAnsi="Calibri" w:cs="Times New Roman"/>
                <w:color w:val="000000"/>
                <w:lang w:val="fr-CA"/>
              </w:rPr>
              <w:t>eut</w:t>
            </w:r>
            <w:r w:rsidRPr="00910356">
              <w:rPr>
                <w:rFonts w:ascii="Calibri" w:eastAsia="Times New Roman" w:hAnsi="Calibri" w:cs="Times New Roman"/>
                <w:color w:val="000000"/>
                <w:lang w:val="fr-CA"/>
              </w:rPr>
              <w:t xml:space="preserve"> être effectué à la CDCC </w:t>
            </w:r>
            <w:r>
              <w:rPr>
                <w:rFonts w:ascii="Calibri" w:eastAsia="Times New Roman" w:hAnsi="Calibri" w:cs="Times New Roman"/>
                <w:color w:val="000000"/>
                <w:lang w:val="fr-CA"/>
              </w:rPr>
              <w:t xml:space="preserve">et dont </w:t>
            </w:r>
            <w:r w:rsidRPr="00910356">
              <w:rPr>
                <w:rFonts w:ascii="Calibri" w:eastAsia="Times New Roman" w:hAnsi="Calibri" w:cs="Times New Roman"/>
                <w:color w:val="000000"/>
                <w:lang w:val="fr-CA"/>
              </w:rPr>
              <w:t xml:space="preserve">le montant notionnel </w:t>
            </w:r>
            <w:r w:rsidRPr="00311311">
              <w:rPr>
                <w:rFonts w:ascii="Calibri" w:eastAsia="Times New Roman" w:hAnsi="Calibri" w:cs="Times New Roman"/>
                <w:lang w:val="fr-CA"/>
              </w:rPr>
              <w:t xml:space="preserve">brut compensé est </w:t>
            </w:r>
            <w:r w:rsidRPr="00910356">
              <w:rPr>
                <w:rFonts w:ascii="Calibri" w:eastAsia="Times New Roman" w:hAnsi="Calibri" w:cs="Times New Roman"/>
                <w:color w:val="000000"/>
                <w:lang w:val="fr-CA"/>
              </w:rPr>
              <w:t>nettement inférieur à un jour ouvrable normal</w:t>
            </w:r>
            <w:r w:rsidRPr="00657D97">
              <w:rPr>
                <w:rFonts w:ascii="Calibri" w:eastAsia="Times New Roman" w:hAnsi="Calibri" w:cs="Times New Roman"/>
                <w:color w:val="000000"/>
                <w:lang w:val="fr-CA"/>
              </w:rPr>
              <w:t xml:space="preserve">. </w:t>
            </w:r>
            <w:r w:rsidRPr="00910356">
              <w:rPr>
                <w:rFonts w:ascii="Calibri" w:eastAsia="Times New Roman" w:hAnsi="Calibri" w:cs="Times New Roman"/>
                <w:color w:val="000000"/>
                <w:lang w:val="fr-CA"/>
              </w:rPr>
              <w:t>En annexe, la CDCC ajoute les informations</w:t>
            </w:r>
            <w:r>
              <w:rPr>
                <w:rFonts w:ascii="Calibri" w:eastAsia="Times New Roman" w:hAnsi="Calibri" w:cs="Times New Roman"/>
                <w:color w:val="000000"/>
                <w:lang w:val="fr-CA"/>
              </w:rPr>
              <w:t xml:space="preserve"> au</w:t>
            </w:r>
            <w:r w:rsidRPr="00910356">
              <w:rPr>
                <w:rFonts w:ascii="Calibri" w:eastAsia="Times New Roman" w:hAnsi="Calibri" w:cs="Times New Roman"/>
                <w:color w:val="000000"/>
                <w:lang w:val="fr-CA"/>
              </w:rPr>
              <w:t xml:space="preserve"> </w:t>
            </w:r>
            <w:r>
              <w:rPr>
                <w:rFonts w:ascii="Calibri" w:eastAsia="Times New Roman" w:hAnsi="Calibri" w:cs="Times New Roman"/>
                <w:color w:val="000000"/>
                <w:lang w:val="fr-CA"/>
              </w:rPr>
              <w:t>27 Septembre afin de repré</w:t>
            </w:r>
            <w:r w:rsidRPr="00910356">
              <w:rPr>
                <w:rFonts w:ascii="Calibri" w:eastAsia="Times New Roman" w:hAnsi="Calibri" w:cs="Times New Roman"/>
                <w:color w:val="000000"/>
                <w:lang w:val="fr-CA"/>
              </w:rPr>
              <w:t>sent</w:t>
            </w:r>
            <w:r>
              <w:rPr>
                <w:rFonts w:ascii="Calibri" w:eastAsia="Times New Roman" w:hAnsi="Calibri" w:cs="Times New Roman"/>
                <w:color w:val="000000"/>
                <w:lang w:val="fr-CA"/>
              </w:rPr>
              <w:t>er le trimestre</w:t>
            </w:r>
            <w:r w:rsidRPr="00910356">
              <w:rPr>
                <w:rFonts w:ascii="Calibri" w:eastAsia="Times New Roman" w:hAnsi="Calibri" w:cs="Times New Roman"/>
                <w:color w:val="000000"/>
                <w:lang w:val="fr-CA"/>
              </w:rPr>
              <w:t xml:space="preserve"> :</w:t>
            </w:r>
            <w:r>
              <w:rPr>
                <w:rFonts w:ascii="Calibri" w:eastAsia="Times New Roman" w:hAnsi="Calibri" w:cs="Times New Roman"/>
                <w:color w:val="000000"/>
                <w:lang w:val="fr-CA"/>
              </w:rPr>
              <w:br/>
            </w:r>
            <w:bookmarkStart w:id="46" w:name="_GoBack"/>
            <w:bookmarkEnd w:id="46"/>
          </w:p>
          <w:p w14:paraId="47D05675" w14:textId="77777777" w:rsidR="007A2985" w:rsidRDefault="007A2985" w:rsidP="007A2985">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Future_ETD = </w:t>
            </w:r>
            <w:r w:rsidRPr="00816956">
              <w:rPr>
                <w:rFonts w:ascii="Calibri" w:eastAsia="Times New Roman" w:hAnsi="Calibri" w:cs="Times New Roman"/>
                <w:color w:val="000000"/>
                <w:lang w:val="en-US"/>
              </w:rPr>
              <w:t>141</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594</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569</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205</w:t>
            </w:r>
          </w:p>
          <w:p w14:paraId="1E919CD3" w14:textId="77777777" w:rsidR="007A2985" w:rsidRDefault="007A2985" w:rsidP="007A2985">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Option_ETD = </w:t>
            </w:r>
            <w:r w:rsidRPr="00816956">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602</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138</w:t>
            </w:r>
            <w:r>
              <w:rPr>
                <w:rFonts w:ascii="Calibri" w:eastAsia="Times New Roman" w:hAnsi="Calibri" w:cs="Times New Roman"/>
                <w:color w:val="000000"/>
                <w:lang w:val="en-US"/>
              </w:rPr>
              <w:t xml:space="preserve"> </w:t>
            </w:r>
            <w:r w:rsidRPr="00816956">
              <w:rPr>
                <w:rFonts w:ascii="Calibri" w:eastAsia="Times New Roman" w:hAnsi="Calibri" w:cs="Times New Roman"/>
                <w:color w:val="000000"/>
                <w:lang w:val="en-US"/>
              </w:rPr>
              <w:t>590</w:t>
            </w:r>
          </w:p>
          <w:p w14:paraId="533A07B8" w14:textId="77777777" w:rsidR="007A2985" w:rsidRDefault="007A2985" w:rsidP="007A2985">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Options_OTC = </w:t>
            </w:r>
            <w:r>
              <w:rPr>
                <w:rFonts w:ascii="Calibri" w:eastAsia="Times New Roman" w:hAnsi="Calibri" w:cs="Times New Roman"/>
                <w:color w:val="000000"/>
                <w:lang w:val="en-US"/>
              </w:rPr>
              <w:t>1 336 000</w:t>
            </w:r>
          </w:p>
          <w:p w14:paraId="38A79804" w14:textId="7446F91B" w:rsidR="007A2985" w:rsidRPr="001C0132" w:rsidRDefault="007A2985" w:rsidP="007A2985">
            <w:pPr>
              <w:spacing w:line="240" w:lineRule="auto"/>
              <w:jc w:val="both"/>
              <w:rPr>
                <w:rFonts w:ascii="Calibri" w:eastAsia="Times New Roman" w:hAnsi="Calibri" w:cs="Times New Roman"/>
                <w:color w:val="000000"/>
                <w:lang w:val="fr-CA"/>
              </w:rPr>
            </w:pPr>
            <w:r w:rsidRPr="00BA6BB5">
              <w:rPr>
                <w:rFonts w:ascii="Calibri" w:eastAsia="Times New Roman" w:hAnsi="Calibri" w:cs="Times New Roman"/>
                <w:color w:val="000000"/>
                <w:lang w:val="en-US"/>
              </w:rPr>
              <w:t>FI_OTC =</w:t>
            </w:r>
            <w:r>
              <w:rPr>
                <w:rFonts w:ascii="Calibri" w:eastAsia="Times New Roman" w:hAnsi="Calibri" w:cs="Times New Roman"/>
                <w:color w:val="000000"/>
                <w:lang w:val="en-US"/>
              </w:rPr>
              <w:t xml:space="preserve"> </w:t>
            </w:r>
            <w:r w:rsidRPr="00DE3C67">
              <w:rPr>
                <w:rFonts w:ascii="Calibri" w:eastAsia="Times New Roman" w:hAnsi="Calibri" w:cs="Times New Roman"/>
                <w:color w:val="000000"/>
                <w:lang w:val="en-US"/>
              </w:rPr>
              <w:t>70</w:t>
            </w:r>
            <w:r>
              <w:rPr>
                <w:rFonts w:ascii="Calibri" w:eastAsia="Times New Roman" w:hAnsi="Calibri" w:cs="Times New Roman"/>
                <w:color w:val="000000"/>
                <w:lang w:val="en-US"/>
              </w:rPr>
              <w:t xml:space="preserve"> </w:t>
            </w:r>
            <w:r w:rsidRPr="00DE3C67">
              <w:rPr>
                <w:rFonts w:ascii="Calibri" w:eastAsia="Times New Roman" w:hAnsi="Calibri" w:cs="Times New Roman"/>
                <w:color w:val="000000"/>
                <w:lang w:val="en-US"/>
              </w:rPr>
              <w:t>832</w:t>
            </w:r>
            <w:r>
              <w:rPr>
                <w:rFonts w:ascii="Calibri" w:eastAsia="Times New Roman" w:hAnsi="Calibri" w:cs="Times New Roman"/>
                <w:color w:val="000000"/>
                <w:lang w:val="en-US"/>
              </w:rPr>
              <w:t xml:space="preserve"> </w:t>
            </w:r>
            <w:r w:rsidRPr="00DE3C67">
              <w:rPr>
                <w:rFonts w:ascii="Calibri" w:eastAsia="Times New Roman" w:hAnsi="Calibri" w:cs="Times New Roman"/>
                <w:color w:val="000000"/>
                <w:lang w:val="en-US"/>
              </w:rPr>
              <w:t>321</w:t>
            </w:r>
            <w:r>
              <w:rPr>
                <w:rFonts w:ascii="Calibri" w:eastAsia="Times New Roman" w:hAnsi="Calibri" w:cs="Times New Roman"/>
                <w:color w:val="000000"/>
                <w:lang w:val="en-US"/>
              </w:rPr>
              <w:t> </w:t>
            </w:r>
            <w:r w:rsidRPr="00DE3C67">
              <w:rPr>
                <w:rFonts w:ascii="Calibri" w:eastAsia="Times New Roman" w:hAnsi="Calibri" w:cs="Times New Roman"/>
                <w:color w:val="000000"/>
                <w:lang w:val="en-US"/>
              </w:rPr>
              <w:t>176</w:t>
            </w:r>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78E693F5" w:rsidR="00496A3D" w:rsidRDefault="00781B4B" w:rsidP="002E70BE">
    <w:pPr>
      <w:pStyle w:val="Footer"/>
      <w:tabs>
        <w:tab w:val="clear" w:pos="4320"/>
        <w:tab w:val="clear" w:pos="8640"/>
        <w:tab w:val="left" w:pos="90"/>
        <w:tab w:val="right" w:pos="9630"/>
      </w:tabs>
      <w:jc w:val="right"/>
    </w:pPr>
    <w:r>
      <w:t>T</w:t>
    </w:r>
    <w:r w:rsidR="004B262B">
      <w:t>3</w:t>
    </w:r>
    <w:r w:rsidR="00431621">
      <w:t>-</w:t>
    </w:r>
    <w:r w:rsidR="006178B3">
      <w:t>202</w:t>
    </w:r>
    <w:r w:rsidR="00F23369">
      <w:t>4</w:t>
    </w:r>
    <w:r w:rsidR="00496A3D">
      <w:tab/>
      <w:t xml:space="preserve">Page </w:t>
    </w:r>
    <w:r w:rsidR="00496A3D">
      <w:fldChar w:fldCharType="begin"/>
    </w:r>
    <w:r w:rsidR="00496A3D">
      <w:instrText xml:space="preserve"> PAGE   \* MERGEFORMAT </w:instrText>
    </w:r>
    <w:r w:rsidR="00496A3D">
      <w:fldChar w:fldCharType="separate"/>
    </w:r>
    <w:r w:rsidR="007A2985">
      <w:rPr>
        <w:noProof/>
      </w:rPr>
      <w:t>7</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7A2985">
      <w:rPr>
        <w:noProof/>
      </w:rPr>
      <w:t>8</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val="en-US"/>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3C22"/>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3E63"/>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262B"/>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4F5E84"/>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36A2D"/>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985"/>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930"/>
    <w:rsid w:val="00854DB5"/>
    <w:rsid w:val="00860C13"/>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6881"/>
    <w:rsid w:val="00EF7F96"/>
    <w:rsid w:val="00F013DC"/>
    <w:rsid w:val="00F03027"/>
    <w:rsid w:val="00F0309B"/>
    <w:rsid w:val="00F0446E"/>
    <w:rsid w:val="00F06A77"/>
    <w:rsid w:val="00F13D33"/>
    <w:rsid w:val="00F1723E"/>
    <w:rsid w:val="00F20321"/>
    <w:rsid w:val="00F23369"/>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985"/>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6A0B6-82E6-40E7-AD47-30A91A83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8</Pages>
  <Words>1947</Words>
  <Characters>11101</Characters>
  <Application>Microsoft Office Word</Application>
  <DocSecurity>0</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13022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91</cp:revision>
  <cp:lastPrinted>2021-06-30T14:43:00Z</cp:lastPrinted>
  <dcterms:created xsi:type="dcterms:W3CDTF">2016-02-12T14:00:00Z</dcterms:created>
  <dcterms:modified xsi:type="dcterms:W3CDTF">2024-11-27T16:13:00Z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